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color w:val="000000" w:themeColor="text1"/>
          <w:sz w:val="44"/>
          <w:szCs w:val="44"/>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14:textFill>
            <w14:solidFill>
              <w14:schemeClr w14:val="tx1"/>
            </w14:solidFill>
          </w14:textFill>
        </w:rPr>
        <w:t>关于太仓市2021年国民经济和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color w:val="000000" w:themeColor="text1"/>
          <w:sz w:val="44"/>
          <w:szCs w:val="44"/>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14:textFill>
            <w14:solidFill>
              <w14:schemeClr w14:val="tx1"/>
            </w14:solidFill>
          </w14:textFill>
        </w:rPr>
        <w:t>社会发展计划执行情况与2022年国民经济和</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napToGrid w:val="0"/>
          <w:color w:val="000000" w:themeColor="text1"/>
          <w:sz w:val="44"/>
          <w:szCs w:val="44"/>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14:textFill>
            <w14:solidFill>
              <w14:schemeClr w14:val="tx1"/>
            </w14:solidFill>
          </w14:textFill>
        </w:rPr>
        <w:t>社会发展计划草案的报告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napToGrid w:val="0"/>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——2022年1月7日在太仓市第十七届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人民代表大会第一次会议上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华文楷体" w:cs="Times New Roman"/>
          <w:snapToGrid w:val="0"/>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snapToGrid w:val="0"/>
          <w:sz w:val="32"/>
          <w:szCs w:val="32"/>
        </w:rPr>
      </w:pPr>
      <w:r>
        <w:rPr>
          <w:rFonts w:hint="default" w:ascii="Times New Roman" w:hAnsi="Times New Roman" w:eastAsia="楷体_GB2312" w:cs="Times New Roman"/>
          <w:snapToGrid w:val="0"/>
          <w:sz w:val="32"/>
          <w:szCs w:val="32"/>
        </w:rPr>
        <w:t xml:space="preserve">市发展和改革委员会主任  </w:t>
      </w:r>
      <w:r>
        <w:rPr>
          <w:rFonts w:hint="default" w:ascii="Times New Roman" w:hAnsi="Times New Roman" w:eastAsia="楷体_GB2312" w:cs="Times New Roman"/>
          <w:snapToGrid w:val="0"/>
          <w:sz w:val="32"/>
          <w:szCs w:val="32"/>
          <w:lang w:val="en-US" w:eastAsia="zh-CN"/>
        </w:rPr>
        <w:t>万芬奇</w:t>
      </w:r>
      <w:r>
        <w:rPr>
          <w:rFonts w:hint="default" w:ascii="Times New Roman" w:hAnsi="Times New Roman" w:eastAsia="楷体_GB2312" w:cs="Times New Roman"/>
          <w:snapToGrid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各位代表：</w:t>
      </w:r>
    </w:p>
    <w:p>
      <w:pPr>
        <w:keepNext w:val="0"/>
        <w:keepLines w:val="0"/>
        <w:pageBreakBefore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我受市人民政府委托，向大会报告太仓市2021年国民经济和社会发展计划执行情况与2022年国民经济和社会发展计划草案，请予审议，并请市政协委员和其他列席人员提出意见。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黑体" w:cs="Times New Roman"/>
          <w:snapToGrid w:val="0"/>
          <w:color w:val="000000" w:themeColor="text1"/>
          <w:sz w:val="32"/>
          <w:szCs w:val="32"/>
          <w14:textFill>
            <w14:solidFill>
              <w14:schemeClr w14:val="tx1"/>
            </w14:solidFill>
          </w14:textFill>
        </w:rPr>
        <w:t>一、2021年全市国民经济和社会发展计划执行情况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napToGrid w:val="0"/>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2021年是极不寻常的一年。在中共太仓市委的正确领导下，全市上下</w:t>
      </w:r>
      <w:r>
        <w:rPr>
          <w:rFonts w:hint="default" w:ascii="Times New Roman" w:hAnsi="Times New Roman" w:eastAsia="仿宋_GB2312" w:cs="Times New Roman"/>
          <w:snapToGrid w:val="0"/>
          <w:color w:val="000000" w:themeColor="text1"/>
          <w:sz w:val="32"/>
          <w:szCs w:val="32"/>
          <w14:textFill>
            <w14:solidFill>
              <w14:schemeClr w14:val="tx1"/>
            </w14:solidFill>
          </w14:textFill>
        </w:rPr>
        <w:t>坚决贯彻落实上级决策部署，坚持稳中求进工作总基调，统筹疫情防控和经济社会发展，锚定“两个高于”工作导向，奋力拼出“太仓速度”，经济运行稳中有进、加速向好，社会大局和谐稳定，实现了“十四五”良好开局。位列中国县级市基本现代化指数第五、中国县域高质量发展百强</w:t>
      </w:r>
      <w:r>
        <w:rPr>
          <w:rFonts w:hint="default" w:ascii="Times New Roman" w:hAnsi="Times New Roman" w:eastAsia="仿宋_GB2312" w:cs="Times New Roman"/>
          <w:color w:val="000000" w:themeColor="text1"/>
          <w:kern w:val="0"/>
          <w:sz w:val="31"/>
          <w:szCs w:val="31"/>
          <w:lang w:bidi="ar"/>
          <w14:textFill>
            <w14:solidFill>
              <w14:schemeClr w14:val="tx1"/>
            </w14:solidFill>
          </w14:textFill>
        </w:rPr>
        <w:t>第六</w:t>
      </w:r>
      <w:r>
        <w:rPr>
          <w:rFonts w:hint="eastAsia" w:ascii="Times New Roman" w:hAnsi="Times New Roman" w:eastAsia="仿宋_GB2312" w:cs="Times New Roman"/>
          <w:color w:val="000000" w:themeColor="text1"/>
          <w:kern w:val="0"/>
          <w:sz w:val="31"/>
          <w:szCs w:val="31"/>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1"/>
          <w:szCs w:val="31"/>
          <w:lang w:bidi="ar"/>
          <w14:textFill>
            <w14:solidFill>
              <w14:schemeClr w14:val="tx1"/>
            </w14:solidFill>
          </w14:textFill>
        </w:rPr>
        <w:t>第</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十</w:t>
      </w:r>
      <w:r>
        <w:rPr>
          <w:rFonts w:hint="default" w:ascii="Times New Roman" w:hAnsi="Times New Roman" w:eastAsia="仿宋_GB2312" w:cs="Times New Roman"/>
          <w:color w:val="000000" w:themeColor="text1"/>
          <w:kern w:val="0"/>
          <w:sz w:val="31"/>
          <w:szCs w:val="31"/>
          <w:lang w:bidi="ar"/>
          <w14:textFill>
            <w14:solidFill>
              <w14:schemeClr w14:val="tx1"/>
            </w14:solidFill>
          </w14:textFill>
        </w:rPr>
        <w:t>次获评中国最具幸福感城市</w:t>
      </w:r>
      <w:r>
        <w:rPr>
          <w:rFonts w:hint="eastAsia" w:ascii="Times New Roman" w:hAnsi="Times New Roman" w:eastAsia="仿宋_GB2312" w:cs="Times New Roman"/>
          <w:color w:val="000000" w:themeColor="text1"/>
          <w:kern w:val="0"/>
          <w:sz w:val="31"/>
          <w:szCs w:val="31"/>
          <w:lang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1"/>
          <w:szCs w:val="31"/>
          <w:lang w:val="en-US" w:eastAsia="zh-CN" w:bidi="ar"/>
          <w14:textFill>
            <w14:solidFill>
              <w14:schemeClr w14:val="tx1"/>
            </w14:solidFill>
          </w14:textFill>
        </w:rPr>
        <w:t>连续六次荣登县级市榜首</w:t>
      </w:r>
      <w:r>
        <w:rPr>
          <w:rFonts w:hint="default" w:ascii="Times New Roman" w:hAnsi="Times New Roman" w:eastAsia="仿宋_GB2312" w:cs="Times New Roman"/>
          <w:color w:val="000000" w:themeColor="text1"/>
          <w:kern w:val="0"/>
          <w:sz w:val="31"/>
          <w:szCs w:val="31"/>
          <w:lang w:bidi="ar"/>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（一）坚定不移提升产业能级，综合实力迈上新台阶，发展步伐更加坚实。</w:t>
      </w:r>
      <w:r>
        <w:rPr>
          <w:rFonts w:hint="default" w:ascii="Times New Roman" w:hAnsi="Times New Roman" w:eastAsia="仿宋_GB2312" w:cs="Times New Roman"/>
          <w:color w:val="000000" w:themeColor="text1"/>
          <w:sz w:val="32"/>
          <w:szCs w:val="32"/>
          <w14:textFill>
            <w14:solidFill>
              <w14:schemeClr w14:val="tx1"/>
            </w14:solidFill>
          </w14:textFill>
        </w:rPr>
        <w:t>全市实现地区生产总值1550亿元（预计数，下同），同比增长10%以上（附件1）。完成一般公共预算收入190亿元，同比增长11%。</w:t>
      </w:r>
      <w:r>
        <w:rPr>
          <w:rFonts w:hint="default" w:ascii="Times New Roman" w:hAnsi="Times New Roman" w:cs="Times New Roman"/>
          <w:b/>
          <w:bCs/>
          <w:color w:val="000000" w:themeColor="text1"/>
          <w:sz w:val="32"/>
          <w:szCs w:val="32"/>
          <w14:textFill>
            <w14:solidFill>
              <w14:schemeClr w14:val="tx1"/>
            </w14:solidFill>
          </w14:textFill>
        </w:rPr>
        <w:t>工业经济稳中有进。</w:t>
      </w:r>
      <w:r>
        <w:rPr>
          <w:rFonts w:hint="default" w:ascii="Times New Roman" w:hAnsi="Times New Roman" w:eastAsia="仿宋_GB2312" w:cs="Times New Roman"/>
          <w:color w:val="000000" w:themeColor="text1"/>
          <w:sz w:val="32"/>
          <w:szCs w:val="32"/>
          <w14:textFill>
            <w14:solidFill>
              <w14:schemeClr w14:val="tx1"/>
            </w14:solidFill>
          </w14:textFill>
        </w:rPr>
        <w:t>完成规模以上工业产值2921.6亿元，同比增长16.3%；其中，高端装备制造、新材料、生物医药三大产业实现产值2226亿元，占规模以上工业产值比重76.2%，较上年同期提高1.7个百分点。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成功引进</w:t>
      </w:r>
      <w:r>
        <w:rPr>
          <w:rFonts w:hint="default" w:ascii="Times New Roman" w:hAnsi="Times New Roman" w:eastAsia="仿宋_GB2312" w:cs="Times New Roman"/>
          <w:color w:val="000000" w:themeColor="text1"/>
          <w:sz w:val="32"/>
          <w:szCs w:val="32"/>
          <w14:textFill>
            <w14:solidFill>
              <w14:schemeClr w14:val="tx1"/>
            </w14:solidFill>
          </w14:textFill>
        </w:rPr>
        <w:t>天航长鹰、穆格飞控等4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个航空航天项目。康乃德成功登陆纳斯达克。</w:t>
      </w:r>
      <w:r>
        <w:rPr>
          <w:rFonts w:hint="default" w:ascii="Times New Roman" w:hAnsi="Times New Roman" w:cs="Times New Roman"/>
          <w:b/>
          <w:bCs/>
          <w:color w:val="000000" w:themeColor="text1"/>
          <w:sz w:val="32"/>
          <w:szCs w:val="32"/>
          <w14:textFill>
            <w14:solidFill>
              <w14:schemeClr w14:val="tx1"/>
            </w14:solidFill>
          </w14:textFill>
        </w:rPr>
        <w:t>服务业经济稳中提质。</w:t>
      </w:r>
      <w:r>
        <w:rPr>
          <w:rFonts w:hint="default" w:ascii="Times New Roman" w:hAnsi="Times New Roman" w:eastAsia="仿宋_GB2312" w:cs="Times New Roman"/>
          <w:color w:val="000000" w:themeColor="text1"/>
          <w:sz w:val="32"/>
          <w:szCs w:val="32"/>
          <w14:textFill>
            <w14:solidFill>
              <w14:schemeClr w14:val="tx1"/>
            </w14:solidFill>
          </w14:textFill>
        </w:rPr>
        <w:t>实现服务业增加值775亿元，占地区生产总值比重达50%。社会消费品零售总额510亿元，同比增长20%。物贸总部经济规模超1300亿元。新增全国4A级物流企业4家、省级服务贸易重点企业3家。引进腾讯天美等30个文旅项目，复星复游城加快建设。“夜太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”品牌持续擦亮</w:t>
      </w:r>
      <w:r>
        <w:rPr>
          <w:rFonts w:hint="default" w:ascii="Times New Roman" w:hAnsi="Times New Roman" w:eastAsia="仿宋_GB2312" w:cs="Times New Roman"/>
          <w:color w:val="000000" w:themeColor="text1"/>
          <w:sz w:val="32"/>
          <w:szCs w:val="32"/>
          <w14:textFill>
            <w14:solidFill>
              <w14:schemeClr w14:val="tx1"/>
            </w14:solidFill>
          </w14:textFill>
        </w:rPr>
        <w:t>。旅游文化美食节、乡村旅游节成功举办，电站村获评省休闲农旅五星级园区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入选省级全域旅游示范区。</w:t>
      </w:r>
      <w:r>
        <w:rPr>
          <w:rFonts w:hint="default" w:ascii="Times New Roman" w:hAnsi="Times New Roman" w:cs="Times New Roman"/>
          <w:b/>
          <w:bCs/>
          <w:color w:val="000000" w:themeColor="text1"/>
          <w:sz w:val="32"/>
          <w:szCs w:val="32"/>
          <w14:textFill>
            <w14:solidFill>
              <w14:schemeClr w14:val="tx1"/>
            </w14:solidFill>
          </w14:textFill>
        </w:rPr>
        <w:t>现代农业稳中向优。</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新建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高标</w:t>
      </w:r>
      <w:r>
        <w:rPr>
          <w:rFonts w:hint="default" w:ascii="Times New Roman" w:hAnsi="Times New Roman" w:eastAsia="仿宋_GB2312" w:cs="Times New Roman"/>
          <w:color w:val="000000" w:themeColor="text1"/>
          <w:sz w:val="32"/>
          <w:szCs w:val="32"/>
          <w14:textFill>
            <w14:solidFill>
              <w14:schemeClr w14:val="tx1"/>
            </w14:solidFill>
          </w14:textFill>
        </w:rPr>
        <w:t>准农田2.9万亩，改造养殖池塘4051亩。主要粮食作物耕种收综合机械化率达98%，粮食产量超3亿斤。梅山猪保种场投用，存栏生猪5.3万头。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入选</w:t>
      </w:r>
      <w:r>
        <w:rPr>
          <w:rFonts w:hint="default" w:ascii="Times New Roman" w:hAnsi="Times New Roman" w:eastAsia="仿宋_GB2312" w:cs="Times New Roman"/>
          <w:color w:val="000000" w:themeColor="text1"/>
          <w:sz w:val="32"/>
          <w:szCs w:val="32"/>
          <w14:textFill>
            <w14:solidFill>
              <w14:schemeClr w14:val="tx1"/>
            </w14:solidFill>
          </w14:textFill>
        </w:rPr>
        <w:t>国家级农村创业园区（基地）9家。</w:t>
      </w:r>
      <w:r>
        <w:rPr>
          <w:rFonts w:hint="default" w:ascii="Times New Roman" w:hAnsi="Times New Roman" w:cs="Times New Roman"/>
          <w:b/>
          <w:bCs/>
          <w:color w:val="000000" w:themeColor="text1"/>
          <w:sz w:val="32"/>
          <w:szCs w:val="32"/>
          <w14:textFill>
            <w14:solidFill>
              <w14:schemeClr w14:val="tx1"/>
            </w14:solidFill>
          </w14:textFill>
        </w:rPr>
        <w:t>项目建设稳中增效。</w:t>
      </w:r>
      <w:r>
        <w:rPr>
          <w:rFonts w:hint="default" w:ascii="Times New Roman" w:hAnsi="Times New Roman" w:eastAsia="仿宋_GB2312" w:cs="Times New Roman"/>
          <w:color w:val="000000" w:themeColor="text1"/>
          <w:sz w:val="32"/>
          <w:szCs w:val="32"/>
          <w14:textFill>
            <w14:solidFill>
              <w14:schemeClr w14:val="tx1"/>
            </w14:solidFill>
          </w14:textFill>
        </w:rPr>
        <w:t>完成全社会固定资产投资500亿元，同比增长6.7%；其中工业投资180亿元，同比增长12.3%。省重大、苏州重点项目数和年度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计划</w:t>
      </w:r>
      <w:r>
        <w:rPr>
          <w:rFonts w:hint="default" w:ascii="Times New Roman" w:hAnsi="Times New Roman" w:eastAsia="仿宋_GB2312" w:cs="Times New Roman"/>
          <w:color w:val="000000" w:themeColor="text1"/>
          <w:sz w:val="32"/>
          <w:szCs w:val="32"/>
          <w14:textFill>
            <w14:solidFill>
              <w14:schemeClr w14:val="tx1"/>
            </w14:solidFill>
          </w14:textFill>
        </w:rPr>
        <w:t>投资均列苏州第一。三级重点项目年度投资完成率分别达10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%、124%和11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事达同泰、</w:t>
      </w:r>
      <w:r>
        <w:rPr>
          <w:rFonts w:hint="default" w:ascii="Times New Roman" w:hAnsi="Times New Roman" w:eastAsia="仿宋_GB2312" w:cs="Times New Roman"/>
          <w:color w:val="000000" w:themeColor="text1"/>
          <w:sz w:val="32"/>
          <w:szCs w:val="32"/>
          <w14:textFill>
            <w14:solidFill>
              <w14:schemeClr w14:val="tx1"/>
            </w14:solidFill>
          </w14:textFill>
        </w:rPr>
        <w:t>聪明制药等项目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开工</w:t>
      </w:r>
      <w:r>
        <w:rPr>
          <w:rFonts w:hint="default" w:ascii="Times New Roman" w:hAnsi="Times New Roman" w:eastAsia="仿宋_GB2312" w:cs="Times New Roman"/>
          <w:color w:val="000000" w:themeColor="text1"/>
          <w:sz w:val="32"/>
          <w:szCs w:val="32"/>
          <w14:textFill>
            <w14:solidFill>
              <w14:schemeClr w14:val="tx1"/>
            </w14:solidFill>
          </w14:textFill>
        </w:rPr>
        <w:t>，利洁时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一期</w:t>
      </w:r>
      <w:r>
        <w:rPr>
          <w:rFonts w:hint="default" w:ascii="Times New Roman" w:hAnsi="Times New Roman" w:eastAsia="仿宋_GB2312" w:cs="Times New Roman"/>
          <w:color w:val="000000" w:themeColor="text1"/>
          <w:sz w:val="32"/>
          <w:szCs w:val="32"/>
          <w14:textFill>
            <w14:solidFill>
              <w14:schemeClr w14:val="tx1"/>
            </w14:solidFill>
          </w14:textFill>
        </w:rPr>
        <w:t>、博泽微电机等项目投产。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（二）坚定不移推进改革创新，高质量发展铸就新引擎，增长动能更加强劲。</w:t>
      </w:r>
      <w:r>
        <w:rPr>
          <w:rFonts w:hint="default" w:ascii="Times New Roman" w:hAnsi="Times New Roman" w:cs="Times New Roman"/>
          <w:b/>
          <w:bCs/>
          <w:color w:val="000000" w:themeColor="text1"/>
          <w:sz w:val="32"/>
          <w:szCs w:val="32"/>
          <w14:textFill>
            <w14:solidFill>
              <w14:schemeClr w14:val="tx1"/>
            </w14:solidFill>
          </w14:textFill>
        </w:rPr>
        <w:t>营商环境持续优化。</w:t>
      </w:r>
      <w:r>
        <w:rPr>
          <w:rFonts w:hint="default" w:ascii="Times New Roman" w:hAnsi="Times New Roman" w:eastAsia="仿宋_GB2312" w:cs="Times New Roman"/>
          <w:color w:val="000000" w:themeColor="text1"/>
          <w:sz w:val="32"/>
          <w:szCs w:val="32"/>
          <w14:textFill>
            <w14:solidFill>
              <w14:schemeClr w14:val="tx1"/>
            </w14:solidFill>
          </w14:textFill>
        </w:rPr>
        <w:t>“E.S.T”行动深入开展，政务服务品牌矩阵发布。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土地出让</w:t>
      </w:r>
      <w:r>
        <w:rPr>
          <w:rFonts w:hint="default" w:ascii="Times New Roman" w:hAnsi="Times New Roman" w:eastAsia="仿宋_GB2312" w:cs="Times New Roman"/>
          <w:color w:val="000000" w:themeColor="text1"/>
          <w:sz w:val="32"/>
          <w:szCs w:val="32"/>
          <w14:textFill>
            <w14:solidFill>
              <w14:schemeClr w14:val="tx1"/>
            </w14:solidFill>
          </w14:textFill>
        </w:rPr>
        <w:t>“双信三即”模式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不断深化</w:t>
      </w:r>
      <w:r>
        <w:rPr>
          <w:rFonts w:hint="default" w:ascii="Times New Roman" w:hAnsi="Times New Roman" w:eastAsia="仿宋_GB2312" w:cs="Times New Roman"/>
          <w:color w:val="000000" w:themeColor="text1"/>
          <w:sz w:val="32"/>
          <w:szCs w:val="32"/>
          <w14:textFill>
            <w14:solidFill>
              <w14:schemeClr w14:val="tx1"/>
            </w14:solidFill>
          </w14:textFill>
        </w:rPr>
        <w:t>，重点项目平均审批时间缩短至7.5天。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一件事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0材料掌上办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案例获评全国智能服务典范</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b/>
          <w:bCs/>
          <w:color w:val="000000" w:themeColor="text1"/>
          <w:sz w:val="32"/>
          <w:szCs w:val="32"/>
          <w14:textFill>
            <w14:solidFill>
              <w14:schemeClr w14:val="tx1"/>
            </w14:solidFill>
          </w14:textFill>
        </w:rPr>
        <w:t>创新能力持续增强。</w:t>
      </w:r>
      <w:r>
        <w:rPr>
          <w:rFonts w:hint="default" w:ascii="Times New Roman" w:hAnsi="Times New Roman" w:eastAsia="仿宋_GB2312" w:cs="Times New Roman"/>
          <w:color w:val="000000" w:themeColor="text1"/>
          <w:sz w:val="32"/>
          <w:szCs w:val="32"/>
          <w14:textFill>
            <w14:solidFill>
              <w14:schemeClr w14:val="tx1"/>
            </w14:solidFill>
          </w14:textFill>
        </w:rPr>
        <w:t>全社会研发经费支出占地区生产总值比重达3.6%。高新技术产业产值、新兴产业产值占规模以上工业产值比重分别达50.3%和59.2%。新增省级以上研发机构35家。入选省潜在独角兽企业4家，新增省专精特新小巨人企业12家。净增高新技术企业224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入选</w:t>
      </w:r>
      <w:r>
        <w:rPr>
          <w:rFonts w:hint="default" w:ascii="Times New Roman" w:hAnsi="Times New Roman" w:eastAsia="仿宋_GB2312" w:cs="Times New Roman"/>
          <w:color w:val="000000" w:themeColor="text1"/>
          <w:sz w:val="32"/>
          <w:szCs w:val="32"/>
          <w14:textFill>
            <w14:solidFill>
              <w14:schemeClr w14:val="tx1"/>
            </w14:solidFill>
          </w14:textFill>
        </w:rPr>
        <w:t>苏州市级以上</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各类</w:t>
      </w:r>
      <w:r>
        <w:rPr>
          <w:rFonts w:hint="default" w:ascii="Times New Roman" w:hAnsi="Times New Roman" w:eastAsia="仿宋_GB2312" w:cs="Times New Roman"/>
          <w:color w:val="000000" w:themeColor="text1"/>
          <w:sz w:val="32"/>
          <w:szCs w:val="32"/>
          <w14:textFill>
            <w14:solidFill>
              <w14:schemeClr w14:val="tx1"/>
            </w14:solidFill>
          </w14:textFill>
        </w:rPr>
        <w:t>“人才计划”65人。新增高价值发明专利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272</w:t>
      </w:r>
      <w:r>
        <w:rPr>
          <w:rFonts w:hint="default" w:ascii="Times New Roman" w:hAnsi="Times New Roman" w:eastAsia="仿宋_GB2312" w:cs="Times New Roman"/>
          <w:color w:val="000000" w:themeColor="text1"/>
          <w:sz w:val="32"/>
          <w:szCs w:val="32"/>
          <w14:textFill>
            <w14:solidFill>
              <w14:schemeClr w14:val="tx1"/>
            </w14:solidFill>
          </w14:textFill>
        </w:rPr>
        <w:t>件，万人有效发明专利拥有量达7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件，位列中国县域知识产权竞争力第六。</w:t>
      </w:r>
      <w:r>
        <w:rPr>
          <w:rFonts w:hint="default" w:ascii="Times New Roman" w:hAnsi="Times New Roman" w:cs="Times New Roman"/>
          <w:b/>
          <w:bCs/>
          <w:color w:val="000000" w:themeColor="text1"/>
          <w:sz w:val="32"/>
          <w:szCs w:val="32"/>
          <w14:textFill>
            <w14:solidFill>
              <w14:schemeClr w14:val="tx1"/>
            </w14:solidFill>
          </w14:textFill>
        </w:rPr>
        <w:t>创新浓度持续提升。</w:t>
      </w:r>
      <w:r>
        <w:rPr>
          <w:rFonts w:hint="default" w:ascii="Times New Roman" w:hAnsi="Times New Roman" w:eastAsia="仿宋_GB2312" w:cs="Times New Roman"/>
          <w:color w:val="000000" w:themeColor="text1"/>
          <w:sz w:val="32"/>
          <w:szCs w:val="32"/>
          <w14:textFill>
            <w14:solidFill>
              <w14:schemeClr w14:val="tx1"/>
            </w14:solidFill>
          </w14:textFill>
        </w:rPr>
        <w:t>新增省级以上科创载体6个，新投用科创载体面积14.11万平方米。吉太航空研究院、思萃免疫技术研究所成功落户。获评省双创示范基地。入选全省首批创新型示范县建设城市。位居全国科技创新百强县第二。</w:t>
      </w:r>
      <w:r>
        <w:rPr>
          <w:rFonts w:hint="default" w:ascii="Times New Roman" w:hAnsi="Times New Roman" w:cs="Times New Roman"/>
          <w:b/>
          <w:bCs/>
          <w:color w:val="000000" w:themeColor="text1"/>
          <w:sz w:val="32"/>
          <w:szCs w:val="32"/>
          <w14:textFill>
            <w14:solidFill>
              <w14:schemeClr w14:val="tx1"/>
            </w14:solidFill>
          </w14:textFill>
        </w:rPr>
        <w:t>数字经济持续壮大。</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完成</w:t>
      </w:r>
      <w:r>
        <w:rPr>
          <w:rFonts w:hint="default" w:ascii="Times New Roman" w:hAnsi="Times New Roman" w:eastAsia="仿宋_GB2312" w:cs="Times New Roman"/>
          <w:color w:val="000000" w:themeColor="text1"/>
          <w:sz w:val="32"/>
          <w:szCs w:val="32"/>
          <w14:textFill>
            <w14:solidFill>
              <w14:schemeClr w14:val="tx1"/>
            </w14:solidFill>
          </w14:textFill>
        </w:rPr>
        <w:t>“智改数转”项目771个，新增国家“新两化融合”项目3个、省工业互联网标杆工厂2家、省级智能制造示范车间6家、省星级上云企业141家。联合利华新晋全球“灯塔工厂”。新增苏州数字经济示范企业3家、入库企业127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shd w:val="clear" w:color="FFFFFF" w:fill="D9D9D9"/>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（三）坚定不移做实“三篇文章”，对外开放打造新高地，</w:t>
      </w: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合作空间更加广阔</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cs="Times New Roman"/>
          <w:b/>
          <w:bCs/>
          <w:color w:val="000000" w:themeColor="text1"/>
          <w:sz w:val="32"/>
          <w:szCs w:val="32"/>
          <w14:textFill>
            <w14:solidFill>
              <w14:schemeClr w14:val="tx1"/>
            </w14:solidFill>
          </w14:textFill>
        </w:rPr>
        <w:t>融入上海深化拓展。</w:t>
      </w:r>
      <w:r>
        <w:rPr>
          <w:rFonts w:hint="default" w:ascii="Times New Roman" w:hAnsi="Times New Roman" w:eastAsia="仿宋_GB2312" w:cs="Times New Roman"/>
          <w:color w:val="000000" w:themeColor="text1"/>
          <w:sz w:val="32"/>
          <w:szCs w:val="32"/>
          <w14:textFill>
            <w14:solidFill>
              <w14:schemeClr w14:val="tx1"/>
            </w14:solidFill>
          </w14:textFill>
        </w:rPr>
        <w:t>列入虹桥国际开放枢纽北向拓展带重要节点城市。引进上海项目259个，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总投资229.8亿元，</w:t>
      </w:r>
      <w:r>
        <w:rPr>
          <w:rFonts w:hint="default" w:ascii="Times New Roman" w:hAnsi="Times New Roman" w:eastAsia="仿宋_GB2312" w:cs="Times New Roman"/>
          <w:color w:val="000000" w:themeColor="text1"/>
          <w:sz w:val="32"/>
          <w:szCs w:val="32"/>
          <w14:textFill>
            <w14:solidFill>
              <w14:schemeClr w14:val="tx1"/>
            </w14:solidFill>
          </w14:textFill>
        </w:rPr>
        <w:t>同比增长1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24.3</w:t>
      </w:r>
      <w:r>
        <w:rPr>
          <w:rFonts w:hint="default" w:ascii="Times New Roman" w:hAnsi="Times New Roman" w:eastAsia="仿宋_GB2312" w:cs="Times New Roman"/>
          <w:color w:val="000000" w:themeColor="text1"/>
          <w:sz w:val="32"/>
          <w:szCs w:val="32"/>
          <w14:textFill>
            <w14:solidFill>
              <w14:schemeClr w14:val="tx1"/>
            </w14:solidFill>
          </w14:textFill>
        </w:rPr>
        <w:t>%。嘉闵太线太仓站</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瑞金医院太仓分院开工建设</w:t>
      </w:r>
      <w:r>
        <w:rPr>
          <w:rFonts w:hint="default" w:ascii="Times New Roman" w:hAnsi="Times New Roman" w:eastAsia="仿宋_GB2312" w:cs="Times New Roman"/>
          <w:color w:val="000000" w:themeColor="text1"/>
          <w:sz w:val="32"/>
          <w:szCs w:val="32"/>
          <w14:textFill>
            <w14:solidFill>
              <w14:schemeClr w14:val="tx1"/>
            </w14:solidFill>
          </w14:textFill>
        </w:rPr>
        <w:t>。上海张江、交大等合作载体揭牌。赴沪就医实现免备案医保卡直刷。“虹桥北·北虹桥”上海推介会、“沪苏同城”合作对接会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等活动圆满</w:t>
      </w:r>
      <w:r>
        <w:rPr>
          <w:rFonts w:hint="default" w:ascii="Times New Roman" w:hAnsi="Times New Roman" w:eastAsia="仿宋_GB2312" w:cs="Times New Roman"/>
          <w:color w:val="000000" w:themeColor="text1"/>
          <w:sz w:val="32"/>
          <w:szCs w:val="32"/>
          <w14:textFill>
            <w14:solidFill>
              <w14:schemeClr w14:val="tx1"/>
            </w14:solidFill>
          </w14:textFill>
        </w:rPr>
        <w:t>成功。</w:t>
      </w:r>
      <w:r>
        <w:rPr>
          <w:rFonts w:hint="default" w:ascii="Times New Roman" w:hAnsi="Times New Roman" w:cs="Times New Roman"/>
          <w:b/>
          <w:bCs/>
          <w:color w:val="000000" w:themeColor="text1"/>
          <w:sz w:val="32"/>
          <w:szCs w:val="32"/>
          <w14:textFill>
            <w14:solidFill>
              <w14:schemeClr w14:val="tx1"/>
            </w14:solidFill>
          </w14:textFill>
        </w:rPr>
        <w:t>对德合作更上台阶。</w:t>
      </w:r>
      <w:r>
        <w:rPr>
          <w:rFonts w:hint="default" w:ascii="Times New Roman" w:hAnsi="Times New Roman" w:eastAsia="仿宋_GB2312" w:cs="Times New Roman"/>
          <w:color w:val="000000" w:themeColor="text1"/>
          <w:sz w:val="32"/>
          <w:szCs w:val="32"/>
          <w14:textFill>
            <w14:solidFill>
              <w14:schemeClr w14:val="tx1"/>
            </w14:solidFill>
          </w14:textFill>
        </w:rPr>
        <w:t>入选第三轮中欧区域政策合作中方案例。新增德企41家，德企总数达410家。德国中小企业（太仓）孵化中心在沪揭牌，全国首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家</w:t>
      </w:r>
      <w:r>
        <w:rPr>
          <w:rFonts w:hint="default" w:ascii="Times New Roman" w:hAnsi="Times New Roman" w:eastAsia="仿宋_GB2312" w:cs="Times New Roman"/>
          <w:color w:val="000000" w:themeColor="text1"/>
          <w:sz w:val="32"/>
          <w:szCs w:val="32"/>
          <w14:textFill>
            <w14:solidFill>
              <w14:schemeClr w14:val="tx1"/>
            </w14:solidFill>
          </w14:textFill>
        </w:rPr>
        <w:t>AHK学院落户太仓。罗腾堡德风街</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整体</w:t>
      </w:r>
      <w:r>
        <w:rPr>
          <w:rFonts w:hint="default" w:ascii="Times New Roman" w:hAnsi="Times New Roman" w:eastAsia="仿宋_GB2312" w:cs="Times New Roman"/>
          <w:color w:val="000000" w:themeColor="text1"/>
          <w:sz w:val="32"/>
          <w:szCs w:val="32"/>
          <w14:textFill>
            <w14:solidFill>
              <w14:schemeClr w14:val="tx1"/>
            </w14:solidFill>
          </w14:textFill>
        </w:rPr>
        <w:t>结构封顶。中国德商会“商会之夜”、太仓啤酒节等活动成功举办。</w:t>
      </w:r>
      <w:r>
        <w:rPr>
          <w:rFonts w:hint="default" w:ascii="Times New Roman" w:hAnsi="Times New Roman" w:cs="Times New Roman"/>
          <w:b/>
          <w:bCs/>
          <w:color w:val="000000" w:themeColor="text1"/>
          <w:sz w:val="32"/>
          <w:szCs w:val="32"/>
          <w14:textFill>
            <w14:solidFill>
              <w14:schemeClr w14:val="tx1"/>
            </w14:solidFill>
          </w14:textFill>
        </w:rPr>
        <w:t>以港强市跨越突破。</w:t>
      </w:r>
      <w:r>
        <w:rPr>
          <w:rFonts w:hint="default" w:ascii="Times New Roman" w:hAnsi="Times New Roman" w:eastAsia="仿宋_GB2312" w:cs="Times New Roman"/>
          <w:color w:val="000000" w:themeColor="text1"/>
          <w:sz w:val="32"/>
          <w:szCs w:val="32"/>
          <w14:textFill>
            <w14:solidFill>
              <w14:schemeClr w14:val="tx1"/>
            </w14:solidFill>
          </w14:textFill>
        </w:rPr>
        <w:t>港口型国家物流枢纽加快建设。集装箱四期码头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投</w:t>
      </w:r>
      <w:r>
        <w:rPr>
          <w:rFonts w:hint="default" w:ascii="Times New Roman" w:hAnsi="Times New Roman" w:eastAsia="仿宋_GB2312" w:cs="Times New Roman"/>
          <w:color w:val="000000" w:themeColor="text1"/>
          <w:sz w:val="32"/>
          <w:szCs w:val="32"/>
          <w14:textFill>
            <w14:solidFill>
              <w14:schemeClr w14:val="tx1"/>
            </w14:solidFill>
          </w14:textFill>
        </w:rPr>
        <w:t>用，疏港铁路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专用线</w:t>
      </w:r>
      <w:r>
        <w:rPr>
          <w:rFonts w:hint="default" w:ascii="Times New Roman" w:hAnsi="Times New Roman" w:eastAsia="仿宋_GB2312" w:cs="Times New Roman"/>
          <w:color w:val="000000" w:themeColor="text1"/>
          <w:sz w:val="32"/>
          <w:szCs w:val="32"/>
          <w14:textFill>
            <w14:solidFill>
              <w14:schemeClr w14:val="tx1"/>
            </w14:solidFill>
          </w14:textFill>
        </w:rPr>
        <w:t>通车。集装箱吞吐量突破700万标箱，货物吞吐量2.4</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亿吨，均创历史新高。“沪太同港化”深入推进，上海港太仓服务中心正式运营。</w:t>
      </w:r>
      <w:r>
        <w:rPr>
          <w:rFonts w:hint="default" w:ascii="Times New Roman" w:hAnsi="Times New Roman" w:cs="Times New Roman"/>
          <w:b/>
          <w:bCs/>
          <w:color w:val="000000" w:themeColor="text1"/>
          <w:sz w:val="32"/>
          <w:szCs w:val="32"/>
          <w14:textFill>
            <w14:solidFill>
              <w14:schemeClr w14:val="tx1"/>
            </w14:solidFill>
          </w14:textFill>
        </w:rPr>
        <w:t>开放型经济持续发力。</w:t>
      </w:r>
      <w:r>
        <w:rPr>
          <w:rFonts w:hint="default" w:ascii="Times New Roman" w:hAnsi="Times New Roman" w:eastAsia="仿宋_GB2312" w:cs="Times New Roman"/>
          <w:color w:val="000000" w:themeColor="text1"/>
          <w:sz w:val="32"/>
          <w:szCs w:val="32"/>
          <w14:textFill>
            <w14:solidFill>
              <w14:schemeClr w14:val="tx1"/>
            </w14:solidFill>
          </w14:textFill>
        </w:rPr>
        <w:t>新增内资注册资</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金</w:t>
      </w:r>
      <w:r>
        <w:rPr>
          <w:rFonts w:hint="default" w:ascii="Times New Roman" w:hAnsi="Times New Roman" w:eastAsia="仿宋_GB2312" w:cs="Times New Roman"/>
          <w:color w:val="000000" w:themeColor="text1"/>
          <w:sz w:val="32"/>
          <w:szCs w:val="32"/>
          <w14:textFill>
            <w14:solidFill>
              <w14:schemeClr w14:val="tx1"/>
            </w14:solidFill>
          </w14:textFill>
        </w:rPr>
        <w:t>516.7亿元，同比增长78.5%。实现注册外资、实际使用外资23.2亿美元和9.3亿美元，均创历史新高。夸特纳斯等11个项目投资超亿美元。获评省级跨国公司地区总部和功能性机构2家。实现进出口总额170亿美元，同比增长27.5%。</w:t>
      </w:r>
    </w:p>
    <w:p>
      <w:pPr>
        <w:pStyle w:val="8"/>
        <w:keepNext w:val="0"/>
        <w:keepLines w:val="0"/>
        <w:pageBreakBefore w:val="0"/>
        <w:kinsoku/>
        <w:wordWrap/>
        <w:overflowPunct/>
        <w:topLinePunct w:val="0"/>
        <w:autoSpaceDE/>
        <w:autoSpaceDN/>
        <w:bidi w:val="0"/>
        <w:adjustRightInd/>
        <w:snapToGrid/>
        <w:spacing w:after="0" w:line="600" w:lineRule="exact"/>
        <w:ind w:left="0" w:leftChars="0" w:firstLine="64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（四）坚定不移</w:t>
      </w:r>
      <w:r>
        <w:rPr>
          <w:rFonts w:hint="eastAsia" w:ascii="Times New Roman" w:hAnsi="Times New Roman" w:eastAsia="楷体_GB2312" w:cs="Times New Roman"/>
          <w:color w:val="000000" w:themeColor="text1"/>
          <w:sz w:val="32"/>
          <w:szCs w:val="32"/>
          <w:lang w:val="en-US" w:eastAsia="zh-CN"/>
          <w14:textFill>
            <w14:solidFill>
              <w14:schemeClr w14:val="tx1"/>
            </w14:solidFill>
          </w14:textFill>
        </w:rPr>
        <w:t>优化</w:t>
      </w:r>
      <w:r>
        <w:rPr>
          <w:rFonts w:hint="default" w:ascii="Times New Roman" w:hAnsi="Times New Roman" w:eastAsia="楷体_GB2312" w:cs="Times New Roman"/>
          <w:color w:val="000000" w:themeColor="text1"/>
          <w:sz w:val="32"/>
          <w:szCs w:val="32"/>
          <w14:textFill>
            <w14:solidFill>
              <w14:schemeClr w14:val="tx1"/>
            </w14:solidFill>
          </w14:textFill>
        </w:rPr>
        <w:t>功能品质，城乡面貌展现新气象，田园城市更加宜居。</w:t>
      </w:r>
      <w:r>
        <w:rPr>
          <w:rFonts w:hint="default" w:ascii="Times New Roman" w:hAnsi="Times New Roman" w:cs="Times New Roman"/>
          <w:b/>
          <w:bCs/>
          <w:color w:val="000000" w:themeColor="text1"/>
          <w:sz w:val="32"/>
          <w:szCs w:val="32"/>
          <w14:textFill>
            <w14:solidFill>
              <w14:schemeClr w14:val="tx1"/>
            </w14:solidFill>
          </w14:textFill>
        </w:rPr>
        <w:t>娄江新城提速建设。</w:t>
      </w:r>
      <w:r>
        <w:rPr>
          <w:rFonts w:hint="default" w:ascii="Times New Roman" w:hAnsi="Times New Roman" w:eastAsia="仿宋_GB2312" w:cs="Times New Roman"/>
          <w:color w:val="000000" w:themeColor="text1"/>
          <w:sz w:val="32"/>
          <w:szCs w:val="32"/>
          <w14:textFill>
            <w14:solidFill>
              <w14:schemeClr w14:val="tx1"/>
            </w14:solidFill>
          </w14:textFill>
        </w:rPr>
        <w:t>娄江新城“1+5+N”规划体系持续完善。西工大太仓校区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一期竣工</w:t>
      </w:r>
      <w:r>
        <w:rPr>
          <w:rFonts w:hint="default" w:ascii="Times New Roman" w:hAnsi="Times New Roman" w:eastAsia="仿宋_GB2312" w:cs="Times New Roman"/>
          <w:color w:val="000000" w:themeColor="text1"/>
          <w:sz w:val="32"/>
          <w:szCs w:val="32"/>
          <w14:textFill>
            <w14:solidFill>
              <w14:schemeClr w14:val="tx1"/>
            </w14:solidFill>
          </w14:textFill>
        </w:rPr>
        <w:t>，西浦太仓校区教学区封顶、生活配套区竣工，智汇谷、长江后浪街区开工建设。太仓大道西段、十八港路北延段等道路建成通车。</w:t>
      </w:r>
      <w:r>
        <w:rPr>
          <w:rFonts w:hint="default" w:ascii="Times New Roman" w:hAnsi="Times New Roman" w:cs="Times New Roman"/>
          <w:b/>
          <w:bCs/>
          <w:color w:val="000000" w:themeColor="text1"/>
          <w:sz w:val="32"/>
          <w:szCs w:val="32"/>
          <w14:textFill>
            <w14:solidFill>
              <w14:schemeClr w14:val="tx1"/>
            </w14:solidFill>
          </w14:textFill>
        </w:rPr>
        <w:t>城市功能更趋完善。</w:t>
      </w:r>
      <w:r>
        <w:rPr>
          <w:rFonts w:hint="default" w:ascii="Times New Roman" w:hAnsi="Times New Roman" w:eastAsia="仿宋_GB2312" w:cs="Times New Roman"/>
          <w:color w:val="auto"/>
          <w:sz w:val="32"/>
          <w:szCs w:val="32"/>
          <w:highlight w:val="none"/>
        </w:rPr>
        <w:t>国土空间规划近期实施方案完成编制。</w:t>
      </w:r>
      <w:r>
        <w:rPr>
          <w:rFonts w:hint="default" w:ascii="Times New Roman" w:hAnsi="Times New Roman" w:eastAsia="仿宋_GB2312" w:cs="Times New Roman"/>
          <w:color w:val="000000" w:themeColor="text1"/>
          <w:sz w:val="32"/>
          <w:szCs w:val="32"/>
          <w14:textFill>
            <w14:solidFill>
              <w14:schemeClr w14:val="tx1"/>
            </w14:solidFill>
          </w14:textFill>
        </w:rPr>
        <w:t>土地征收成片开发方案获批。华发广场、铂尔曼酒店建成开业。25个老旧小区完成改造，古松弄、胜利村、原城三小地块城市更新全面启动。太浏快速路东延段通车。城区污水处理厂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主体工程完工，</w:t>
      </w:r>
      <w:r>
        <w:rPr>
          <w:rFonts w:hint="default" w:ascii="Times New Roman" w:hAnsi="Times New Roman" w:eastAsia="仿宋_GB2312" w:cs="Times New Roman"/>
          <w:color w:val="000000" w:themeColor="text1"/>
          <w:sz w:val="32"/>
          <w:szCs w:val="32"/>
          <w14:textFill>
            <w14:solidFill>
              <w14:schemeClr w14:val="tx1"/>
            </w14:solidFill>
          </w14:textFill>
        </w:rPr>
        <w:t>主城区水质提升控导工程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投用</w:t>
      </w:r>
      <w:r>
        <w:rPr>
          <w:rFonts w:hint="default" w:ascii="Times New Roman" w:hAnsi="Times New Roman" w:eastAsia="仿宋_GB2312" w:cs="Times New Roman"/>
          <w:color w:val="000000" w:themeColor="text1"/>
          <w:sz w:val="32"/>
          <w:szCs w:val="32"/>
          <w14:textFill>
            <w14:solidFill>
              <w14:schemeClr w14:val="tx1"/>
            </w14:solidFill>
          </w14:textFill>
        </w:rPr>
        <w:t>。500千伏太仓变二号主变投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入运行</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cs="Times New Roman"/>
          <w:b/>
          <w:bCs/>
          <w:color w:val="000000" w:themeColor="text1"/>
          <w:sz w:val="32"/>
          <w:szCs w:val="32"/>
          <w14:textFill>
            <w14:solidFill>
              <w14:schemeClr w14:val="tx1"/>
            </w14:solidFill>
          </w14:textFill>
        </w:rPr>
        <w:t>乡村振兴取得实效。</w:t>
      </w:r>
      <w:r>
        <w:rPr>
          <w:rFonts w:hint="default" w:ascii="Times New Roman" w:hAnsi="Times New Roman" w:eastAsia="仿宋_GB2312" w:cs="Times New Roman"/>
          <w:color w:val="000000" w:themeColor="text1"/>
          <w:sz w:val="32"/>
          <w:szCs w:val="32"/>
          <w14:textFill>
            <w14:solidFill>
              <w14:schemeClr w14:val="tx1"/>
            </w14:solidFill>
          </w14:textFill>
        </w:rPr>
        <w:t>村均集体可支配收入超1000万元。新增特色康居乡村46个、特色康居示范区3个、特色精品乡村试点3个。万丰村柴塘获评省特色田园乡村。农村人居环境整治工作获国务院督查激励。获评“四好农村路”全国示范县。</w:t>
      </w:r>
      <w:r>
        <w:rPr>
          <w:rFonts w:hint="default" w:ascii="Times New Roman" w:hAnsi="Times New Roman" w:cs="Times New Roman"/>
          <w:b/>
          <w:bCs/>
          <w:color w:val="000000" w:themeColor="text1"/>
          <w:sz w:val="32"/>
          <w:szCs w:val="32"/>
          <w14:textFill>
            <w14:solidFill>
              <w14:schemeClr w14:val="tx1"/>
            </w14:solidFill>
          </w14:textFill>
        </w:rPr>
        <w:t>生态优先彰显底色。</w:t>
      </w:r>
      <w:r>
        <w:rPr>
          <w:rFonts w:hint="default" w:ascii="Times New Roman" w:hAnsi="Times New Roman" w:eastAsia="仿宋_GB2312" w:cs="Times New Roman"/>
          <w:color w:val="000000" w:themeColor="text1"/>
          <w:sz w:val="32"/>
          <w:szCs w:val="32"/>
          <w14:textFill>
            <w14:solidFill>
              <w14:schemeClr w14:val="tx1"/>
            </w14:solidFill>
          </w14:textFill>
        </w:rPr>
        <w:t>PM</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2.5</w:t>
      </w:r>
      <w:r>
        <w:rPr>
          <w:rFonts w:hint="default" w:ascii="Times New Roman" w:hAnsi="Times New Roman" w:eastAsia="仿宋_GB2312" w:cs="Times New Roman"/>
          <w:color w:val="000000" w:themeColor="text1"/>
          <w:sz w:val="32"/>
          <w:szCs w:val="32"/>
          <w14:textFill>
            <w14:solidFill>
              <w14:schemeClr w14:val="tx1"/>
            </w14:solidFill>
          </w14:textFill>
        </w:rPr>
        <w:t>年均浓度25微克/立方米，空气质量优良天数比例88%，均为苏州最优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全省前列</w:t>
      </w:r>
      <w:r>
        <w:rPr>
          <w:rFonts w:hint="default" w:ascii="Times New Roman" w:hAnsi="Times New Roman" w:eastAsia="仿宋_GB2312" w:cs="Times New Roman"/>
          <w:color w:val="000000" w:themeColor="text1"/>
          <w:sz w:val="32"/>
          <w:szCs w:val="32"/>
          <w14:textFill>
            <w14:solidFill>
              <w14:schemeClr w14:val="tx1"/>
            </w14:solidFill>
          </w14:textFill>
        </w:rPr>
        <w:t>。地表水达到或好于Ⅲ类水体比例保持100%</w:t>
      </w:r>
      <w:r>
        <w:rPr>
          <w:rFonts w:hint="default" w:ascii="Times New Roman" w:hAnsi="Times New Roman" w:eastAsia="仿宋_GB2312" w:cs="Times New Roman"/>
          <w:color w:val="000000" w:themeColor="text1"/>
          <w:sz w:val="32"/>
          <w14:textFill>
            <w14:solidFill>
              <w14:schemeClr w14:val="tx1"/>
            </w14:solidFill>
          </w14:textFill>
        </w:rPr>
        <w:t>。新增</w:t>
      </w:r>
      <w:r>
        <w:rPr>
          <w:rFonts w:hint="eastAsia" w:ascii="Times New Roman" w:hAnsi="Times New Roman" w:eastAsia="仿宋_GB2312" w:cs="Times New Roman"/>
          <w:color w:val="000000" w:themeColor="text1"/>
          <w:sz w:val="32"/>
          <w:lang w:val="en-US" w:eastAsia="zh-CN"/>
          <w14:textFill>
            <w14:solidFill>
              <w14:schemeClr w14:val="tx1"/>
            </w14:solidFill>
          </w14:textFill>
        </w:rPr>
        <w:t>成片</w:t>
      </w:r>
      <w:r>
        <w:rPr>
          <w:rFonts w:hint="default" w:ascii="Times New Roman" w:hAnsi="Times New Roman" w:eastAsia="仿宋_GB2312" w:cs="Times New Roman"/>
          <w:color w:val="000000" w:themeColor="text1"/>
          <w:sz w:val="32"/>
          <w14:textFill>
            <w14:solidFill>
              <w14:schemeClr w14:val="tx1"/>
            </w14:solidFill>
          </w14:textFill>
        </w:rPr>
        <w:t>造林</w:t>
      </w:r>
      <w:r>
        <w:rPr>
          <w:rFonts w:hint="eastAsia" w:ascii="Times New Roman" w:hAnsi="Times New Roman" w:eastAsia="仿宋_GB2312" w:cs="Times New Roman"/>
          <w:color w:val="000000" w:themeColor="text1"/>
          <w:sz w:val="32"/>
          <w:lang w:val="en-US" w:eastAsia="zh-CN"/>
          <w14:textFill>
            <w14:solidFill>
              <w14:schemeClr w14:val="tx1"/>
            </w14:solidFill>
          </w14:textFill>
        </w:rPr>
        <w:t>550亩，建成开放口袋公园4个</w:t>
      </w:r>
      <w:r>
        <w:rPr>
          <w:rFonts w:hint="default" w:ascii="Times New Roman" w:hAnsi="Times New Roman" w:eastAsia="仿宋_GB2312" w:cs="Times New Roman"/>
          <w:color w:val="000000" w:themeColor="text1"/>
          <w:sz w:val="32"/>
          <w14:textFill>
            <w14:solidFill>
              <w14:schemeClr w14:val="tx1"/>
            </w14:solidFill>
          </w14:textFill>
        </w:rPr>
        <w:t>。通过</w:t>
      </w:r>
      <w:r>
        <w:rPr>
          <w:rFonts w:hint="default" w:ascii="Times New Roman" w:hAnsi="Times New Roman" w:eastAsia="仿宋_GB2312" w:cs="Times New Roman"/>
          <w:color w:val="000000" w:themeColor="text1"/>
          <w:sz w:val="32"/>
          <w:szCs w:val="32"/>
          <w14:textFill>
            <w14:solidFill>
              <w14:schemeClr w14:val="tx1"/>
            </w14:solidFill>
          </w14:textFill>
        </w:rPr>
        <w:t>国家卫生城市复审。位居全国绿色发展百强县第二。</w:t>
      </w:r>
    </w:p>
    <w:p>
      <w:pPr>
        <w:pStyle w:val="8"/>
        <w:keepNext w:val="0"/>
        <w:keepLines w:val="0"/>
        <w:pageBreakBefore w:val="0"/>
        <w:kinsoku/>
        <w:wordWrap/>
        <w:overflowPunct/>
        <w:topLinePunct w:val="0"/>
        <w:autoSpaceDE/>
        <w:autoSpaceDN/>
        <w:bidi w:val="0"/>
        <w:adjustRightInd/>
        <w:snapToGrid/>
        <w:spacing w:after="0" w:line="600" w:lineRule="exact"/>
        <w:ind w:left="0" w:leftChars="0" w:firstLine="64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（五）坚定不移增进民生福祉，共同富裕得到新提升，人民生活更加幸福。</w:t>
      </w:r>
      <w:r>
        <w:rPr>
          <w:rFonts w:hint="default" w:ascii="Times New Roman" w:hAnsi="Times New Roman" w:cs="Times New Roman"/>
          <w:b/>
          <w:bCs/>
          <w:color w:val="000000" w:themeColor="text1"/>
          <w:sz w:val="32"/>
          <w:szCs w:val="32"/>
          <w14:textFill>
            <w14:solidFill>
              <w14:schemeClr w14:val="tx1"/>
            </w14:solidFill>
          </w14:textFill>
        </w:rPr>
        <w:t>疫情防控精准有效。</w:t>
      </w:r>
      <w:r>
        <w:rPr>
          <w:rFonts w:hint="default" w:ascii="Times New Roman" w:hAnsi="Times New Roman" w:eastAsia="仿宋_GB2312" w:cs="Times New Roman"/>
          <w:color w:val="000000" w:themeColor="text1"/>
          <w:kern w:val="0"/>
          <w:sz w:val="32"/>
          <w:szCs w:val="32"/>
          <w14:textFill>
            <w14:solidFill>
              <w14:schemeClr w14:val="tx1"/>
            </w14:solidFill>
          </w14:textFill>
        </w:rPr>
        <w:t>毫不松懈抓好常态化疫情防控，重点场所、重点人群、重点环境全面管控。启动建设健康驿站2个，规范建设发热门诊4家，设置新冠肺炎救治定点医院1家，新增负压急救车8辆、方舱实验室2个。核酸检测能力增强，疫苗接种扎实推进。应急演练有序开展，成功驰援南京、扬州抗疫。</w:t>
      </w:r>
      <w:r>
        <w:rPr>
          <w:rFonts w:hint="default" w:ascii="Times New Roman" w:hAnsi="Times New Roman" w:cs="Times New Roman"/>
          <w:b/>
          <w:bCs/>
          <w:color w:val="000000" w:themeColor="text1"/>
          <w:sz w:val="32"/>
          <w:szCs w:val="32"/>
          <w14:textFill>
            <w14:solidFill>
              <w14:schemeClr w14:val="tx1"/>
            </w14:solidFill>
          </w14:textFill>
        </w:rPr>
        <w:t>保障体系均衡完善。</w:t>
      </w:r>
      <w:r>
        <w:rPr>
          <w:rFonts w:hint="default" w:ascii="Times New Roman" w:hAnsi="Times New Roman" w:eastAsia="仿宋_GB2312" w:cs="Times New Roman"/>
          <w:bCs/>
          <w:color w:val="000000" w:themeColor="text1"/>
          <w:sz w:val="32"/>
          <w:szCs w:val="32"/>
          <w14:textFill>
            <w14:solidFill>
              <w14:schemeClr w14:val="tx1"/>
            </w14:solidFill>
          </w14:textFill>
        </w:rPr>
        <w:t>居民人均可支配收入增速高于地区生产总值增速。新增城镇就业</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超</w:t>
      </w:r>
      <w:r>
        <w:rPr>
          <w:rFonts w:hint="default" w:ascii="Times New Roman" w:hAnsi="Times New Roman" w:eastAsia="仿宋_GB2312" w:cs="Times New Roman"/>
          <w:bCs/>
          <w:color w:val="000000" w:themeColor="text1"/>
          <w:sz w:val="32"/>
          <w:szCs w:val="32"/>
          <w14:textFill>
            <w14:solidFill>
              <w14:schemeClr w14:val="tx1"/>
            </w14:solidFill>
          </w14:textFill>
        </w:rPr>
        <w:t>1.1万人，</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城镇</w:t>
      </w:r>
      <w:r>
        <w:rPr>
          <w:rFonts w:hint="default" w:ascii="Times New Roman" w:hAnsi="Times New Roman" w:eastAsia="仿宋_GB2312" w:cs="Times New Roman"/>
          <w:bCs/>
          <w:color w:val="000000" w:themeColor="text1"/>
          <w:sz w:val="32"/>
          <w:szCs w:val="32"/>
          <w14:textFill>
            <w14:solidFill>
              <w14:schemeClr w14:val="tx1"/>
            </w14:solidFill>
          </w14:textFill>
        </w:rPr>
        <w:t>登记失业率1.8%。城乡居民最低生活保障标准提高至每人每月1095元。发放各类生活救助金、慰问金（物资）6630万元。城乡居民养老金增长8%，发放尊老卡近16万张，位列中国康养百佳县市榜首。</w:t>
      </w:r>
      <w:r>
        <w:rPr>
          <w:rFonts w:hint="default" w:ascii="Times New Roman" w:hAnsi="Times New Roman" w:eastAsia="仿宋_GB2312" w:cs="Times New Roman"/>
          <w:color w:val="000000" w:themeColor="text1"/>
          <w:sz w:val="32"/>
          <w:szCs w:val="32"/>
          <w14:textFill>
            <w14:solidFill>
              <w14:schemeClr w14:val="tx1"/>
            </w14:solidFill>
          </w14:textFill>
        </w:rPr>
        <w:t>建成</w:t>
      </w:r>
      <w:r>
        <w:rPr>
          <w:rFonts w:hint="default" w:ascii="Times New Roman" w:hAnsi="Times New Roman" w:eastAsia="仿宋_GB2312" w:cs="Times New Roman"/>
          <w:bCs/>
          <w:color w:val="000000" w:themeColor="text1"/>
          <w:sz w:val="32"/>
          <w:szCs w:val="32"/>
          <w14:textFill>
            <w14:solidFill>
              <w14:schemeClr w14:val="tx1"/>
            </w14:solidFill>
          </w14:textFill>
        </w:rPr>
        <w:t>保障性安居工程1081套，新增保障性租赁住房2033套。</w:t>
      </w:r>
      <w:r>
        <w:rPr>
          <w:rFonts w:hint="default" w:ascii="Times New Roman" w:hAnsi="Times New Roman" w:cs="Times New Roman"/>
          <w:b/>
          <w:bCs/>
          <w:color w:val="000000" w:themeColor="text1"/>
          <w:sz w:val="32"/>
          <w:szCs w:val="32"/>
          <w14:textFill>
            <w14:solidFill>
              <w14:schemeClr w14:val="tx1"/>
            </w14:solidFill>
          </w14:textFill>
        </w:rPr>
        <w:t>公共服务提质扩面。</w:t>
      </w:r>
      <w:r>
        <w:rPr>
          <w:rFonts w:hint="default" w:ascii="Times New Roman" w:hAnsi="Times New Roman" w:eastAsia="仿宋_GB2312" w:cs="Times New Roman"/>
          <w:color w:val="000000" w:themeColor="text1"/>
          <w:sz w:val="32"/>
          <w:szCs w:val="32"/>
          <w14:textFill>
            <w14:solidFill>
              <w14:schemeClr w14:val="tx1"/>
            </w14:solidFill>
          </w14:textFill>
        </w:rPr>
        <w:t>8大类26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个</w:t>
      </w:r>
      <w:r>
        <w:rPr>
          <w:rFonts w:hint="default" w:ascii="Times New Roman" w:hAnsi="Times New Roman" w:eastAsia="仿宋_GB2312" w:cs="Times New Roman"/>
          <w:color w:val="000000" w:themeColor="text1"/>
          <w:sz w:val="32"/>
          <w:szCs w:val="32"/>
          <w14:textFill>
            <w14:solidFill>
              <w14:schemeClr w14:val="tx1"/>
            </w14:solidFill>
          </w14:textFill>
        </w:rPr>
        <w:t>民生实事项目加快实施。8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个学校新建、改扩建项目开工</w:t>
      </w:r>
      <w:r>
        <w:rPr>
          <w:rFonts w:hint="default" w:ascii="Times New Roman" w:hAnsi="Times New Roman" w:eastAsia="仿宋_GB2312" w:cs="Times New Roman"/>
          <w:color w:val="000000" w:themeColor="text1"/>
          <w:sz w:val="32"/>
          <w:szCs w:val="32"/>
          <w14:textFill>
            <w14:solidFill>
              <w14:schemeClr w14:val="tx1"/>
            </w14:solidFill>
          </w14:textFill>
        </w:rPr>
        <w:t>，11个</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14:textFill>
            <w14:solidFill>
              <w14:schemeClr w14:val="tx1"/>
            </w14:solidFill>
          </w14:textFill>
        </w:rPr>
        <w:t>投用，新增学位9135个。获评省级社区教育示范区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全国科普示范县。市公共卫生中心建成投用，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kern w:val="0"/>
          <w:sz w:val="32"/>
          <w:szCs w:val="32"/>
          <w14:textFill>
            <w14:solidFill>
              <w14:schemeClr w14:val="tx1"/>
            </w14:solidFill>
          </w14:textFill>
        </w:rPr>
        <w:t>家基层医疗卫生机构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完成</w:t>
      </w:r>
      <w:r>
        <w:rPr>
          <w:rFonts w:hint="default" w:ascii="Times New Roman" w:hAnsi="Times New Roman" w:eastAsia="仿宋_GB2312" w:cs="Times New Roman"/>
          <w:color w:val="000000" w:themeColor="text1"/>
          <w:kern w:val="0"/>
          <w:sz w:val="32"/>
          <w:szCs w:val="32"/>
          <w14:textFill>
            <w14:solidFill>
              <w14:schemeClr w14:val="tx1"/>
            </w14:solidFill>
          </w14:textFill>
        </w:rPr>
        <w:t>提档升级，市一院上线互联网医院。美术馆新馆主体完工，市民文体中心建成，全国竞走冠军赛、市第十六届全运会成功举办。</w:t>
      </w:r>
      <w:r>
        <w:rPr>
          <w:rFonts w:hint="default" w:ascii="Times New Roman" w:hAnsi="Times New Roman" w:cs="Times New Roman"/>
          <w:b/>
          <w:bCs/>
          <w:color w:val="000000" w:themeColor="text1"/>
          <w:sz w:val="32"/>
          <w:szCs w:val="32"/>
          <w14:textFill>
            <w14:solidFill>
              <w14:schemeClr w14:val="tx1"/>
            </w14:solidFill>
          </w14:textFill>
        </w:rPr>
        <w:t>社会治理高效有序。</w:t>
      </w:r>
      <w:r>
        <w:rPr>
          <w:rFonts w:hint="default" w:ascii="Times New Roman" w:hAnsi="Times New Roman" w:eastAsia="仿宋_GB2312" w:cs="Times New Roman"/>
          <w:color w:val="000000" w:themeColor="text1"/>
          <w:kern w:val="0"/>
          <w:sz w:val="32"/>
          <w:szCs w:val="32"/>
          <w14:textFill>
            <w14:solidFill>
              <w14:schemeClr w14:val="tx1"/>
            </w14:solidFill>
          </w14:textFill>
        </w:rPr>
        <w:t>扫黑除恶斗争走深走实</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“新一代雪亮工程”加速推进。</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“能动善治”项目获省基层社会治理创新成果奖，</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社工站建设经验全省推广</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网格化服务管理水平全省领先。</w:t>
      </w:r>
      <w:r>
        <w:rPr>
          <w:rFonts w:hint="default" w:ascii="Times New Roman" w:hAnsi="Times New Roman" w:eastAsia="仿宋_GB2312" w:cs="Times New Roman"/>
          <w:color w:val="000000" w:themeColor="text1"/>
          <w:kern w:val="0"/>
          <w:sz w:val="32"/>
          <w:szCs w:val="32"/>
          <w14:textFill>
            <w14:solidFill>
              <w14:schemeClr w14:val="tx1"/>
            </w14:solidFill>
          </w14:textFill>
        </w:rPr>
        <w:t>生产安全事故起数和死亡人数实现“双下降”。电信网络诈骗案发数同比下降</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30.3</w:t>
      </w:r>
      <w:r>
        <w:rPr>
          <w:rFonts w:hint="default" w:ascii="Times New Roman" w:hAnsi="Times New Roman" w:eastAsia="仿宋_GB2312" w:cs="Times New Roman"/>
          <w:color w:val="000000" w:themeColor="text1"/>
          <w:kern w:val="0"/>
          <w:sz w:val="32"/>
          <w:szCs w:val="32"/>
          <w14:textFill>
            <w14:solidFill>
              <w14:schemeClr w14:val="tx1"/>
            </w14:solidFill>
          </w14:textFill>
        </w:rPr>
        <w:t>%。获评省食品安全示范市。</w:t>
      </w:r>
    </w:p>
    <w:p>
      <w:pPr>
        <w:keepNext w:val="0"/>
        <w:keepLines w:val="0"/>
        <w:pageBreakBefore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2021年我市经济社会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发展</w:t>
      </w:r>
      <w:r>
        <w:rPr>
          <w:rFonts w:hint="default" w:ascii="Times New Roman" w:hAnsi="Times New Roman" w:eastAsia="仿宋_GB2312" w:cs="Times New Roman"/>
          <w:color w:val="000000" w:themeColor="text1"/>
          <w:sz w:val="32"/>
          <w:szCs w:val="32"/>
          <w14:textFill>
            <w14:solidFill>
              <w14:schemeClr w14:val="tx1"/>
            </w14:solidFill>
          </w14:textFill>
        </w:rPr>
        <w:t>经受住了复杂严峻考验，主要指标完成或超额完成年度目标任务。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但必须</w:t>
      </w:r>
      <w:r>
        <w:rPr>
          <w:rFonts w:hint="default" w:ascii="Times New Roman" w:hAnsi="Times New Roman" w:eastAsia="仿宋_GB2312" w:cs="Times New Roman"/>
          <w:color w:val="000000" w:themeColor="text1"/>
          <w:sz w:val="32"/>
          <w:szCs w:val="32"/>
          <w14:textFill>
            <w14:solidFill>
              <w14:schemeClr w14:val="tx1"/>
            </w14:solidFill>
          </w14:textFill>
        </w:rPr>
        <w:t>看到，当前经济下行压力加大，实体企业面临一定困难，自主创新能力有待提升，产业绿色转型步伐尚需进一步加快，民生领域还存在一些薄弱环节。对此，我们必须采取有力措施切实加以解决。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二、2022年国民经济和社会发展主要预期目标建议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（一）2022年计划安排的指导思想和主要预期目标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2022年是党的二十大召开之年，也是“十四五”规划实施的关键</w:t>
      </w:r>
      <w:r>
        <w:rPr>
          <w:rFonts w:hint="eastAsia"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之</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年，做好2022年工作意义尤其重大。</w:t>
      </w:r>
      <w:r>
        <w:rPr>
          <w:rFonts w:hint="default" w:ascii="Times New Roman" w:hAnsi="Times New Roman" w:eastAsia="仿宋_GB2312" w:cs="Times New Roman"/>
          <w:b/>
          <w:bCs/>
          <w:snapToGrid w:val="0"/>
          <w:color w:val="000000" w:themeColor="text1"/>
          <w:kern w:val="0"/>
          <w:sz w:val="32"/>
          <w:szCs w:val="32"/>
          <w14:textFill>
            <w14:solidFill>
              <w14:schemeClr w14:val="tx1"/>
            </w14:solidFill>
          </w14:textFill>
        </w:rPr>
        <w:t>我市国民经济和社会发展计划安排的指导思想是：</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以习近平新时代中国特色社会主义思想为指导，全面贯彻党的十九大和十九届历次全会精神，深入贯彻总书记对江苏工作指示精神，坚持稳中求进工作总基调，完整、准确、全面贯彻新发展理念，加快服务构建新发展格局，围绕“现代田园城、幸福金太仓”目标定位，紧扣“两个高于”工作导向，以高质量发展为主题，以供给侧结构性改革为主线，以促进共同富裕为着力点，统筹疫情防控和经济社会发展，统筹发展和安全，继续做好“六稳”“六保”工作，做深做实“三篇文章”，奋力拼出“太仓速度”，加快打造虹桥国际开放枢纽北翼发展极，激情谱写社会主义现代化建设太仓精彩篇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2022年国民经济和社会发展主要目标建议：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——地区生产总值增长6%左右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——一般公共预算收入增长</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5.5</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——全社会固定资产投资增长8%左右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——新兴产业产值占规模以上工业产值比重保持稳定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——高新技术产业产值占规模以上工业产值比重提高1个百分点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——全社会研发经费支出占地区生产总值比重3.75%</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——社会消费品零售总额增长8%左右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——进出口总额总体稳定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——居民人均可支配收入与地区生产总值增长同步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——城镇登记失业率控制在2.5%以内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——PM</w:t>
      </w:r>
      <w:r>
        <w:rPr>
          <w:rFonts w:hint="default" w:ascii="Times New Roman" w:hAnsi="Times New Roman" w:eastAsia="仿宋_GB2312" w:cs="Times New Roman"/>
          <w:snapToGrid w:val="0"/>
          <w:color w:val="000000" w:themeColor="text1"/>
          <w:kern w:val="0"/>
          <w:sz w:val="32"/>
          <w:szCs w:val="32"/>
          <w:vertAlign w:val="subscript"/>
          <w14:textFill>
            <w14:solidFill>
              <w14:schemeClr w14:val="tx1"/>
            </w14:solidFill>
          </w14:textFill>
        </w:rPr>
        <w:t>2.5</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年均浓度完成苏州下达任务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——地表水达到或好于Ⅲ类水体比例100%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——单位地区生产总值能耗下降率完成苏州下达任务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——单位地区生产总值生产安全事故死亡率持续下降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（二）2022年主要预期目标说明</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聚焦综合实力。</w:t>
      </w:r>
      <w:r>
        <w:rPr>
          <w:rFonts w:hint="default" w:ascii="Times New Roman" w:hAnsi="Times New Roman" w:eastAsia="仿宋_GB2312" w:cs="Times New Roman"/>
          <w:b/>
          <w:bCs/>
          <w:color w:val="000000" w:themeColor="text1"/>
          <w:sz w:val="32"/>
          <w:szCs w:val="32"/>
          <w14:textFill>
            <w14:solidFill>
              <w14:schemeClr w14:val="tx1"/>
            </w14:solidFill>
          </w14:textFill>
        </w:rPr>
        <w:t>从国际看，</w:t>
      </w:r>
      <w:r>
        <w:rPr>
          <w:rFonts w:hint="default" w:ascii="Times New Roman" w:hAnsi="Times New Roman" w:eastAsia="仿宋_GB2312" w:cs="Times New Roman"/>
          <w:color w:val="000000" w:themeColor="text1"/>
          <w:sz w:val="32"/>
          <w:szCs w:val="32"/>
          <w14:textFill>
            <w14:solidFill>
              <w14:schemeClr w14:val="tx1"/>
            </w14:solidFill>
          </w14:textFill>
        </w:rPr>
        <w:t>世纪疫情冲击下，百年变局加速演进，外部环境更趋复杂严峻和不确定。但全球经济在曲折中持续复苏，主要经济体仍然保持增长态势。</w:t>
      </w:r>
      <w:r>
        <w:rPr>
          <w:rFonts w:hint="default" w:ascii="Times New Roman" w:hAnsi="Times New Roman" w:eastAsia="仿宋_GB2312" w:cs="Times New Roman"/>
          <w:b/>
          <w:bCs/>
          <w:color w:val="000000" w:themeColor="text1"/>
          <w:sz w:val="32"/>
          <w:szCs w:val="32"/>
          <w14:textFill>
            <w14:solidFill>
              <w14:schemeClr w14:val="tx1"/>
            </w14:solidFill>
          </w14:textFill>
        </w:rPr>
        <w:t>从国内看，</w:t>
      </w:r>
      <w:r>
        <w:rPr>
          <w:rFonts w:hint="default" w:ascii="Times New Roman" w:hAnsi="Times New Roman" w:eastAsia="仿宋_GB2312" w:cs="Times New Roman"/>
          <w:color w:val="000000" w:themeColor="text1"/>
          <w:sz w:val="32"/>
          <w:szCs w:val="32"/>
          <w14:textFill>
            <w14:solidFill>
              <w14:schemeClr w14:val="tx1"/>
            </w14:solidFill>
          </w14:textFill>
        </w:rPr>
        <w:t>尽管国内经济发展面临需求收缩、供给冲击、预期转弱三重压力，但我国经济持续恢复发展的态势没有改变，经济韧性强、长期向好的基本面没有改变。</w:t>
      </w:r>
      <w:r>
        <w:rPr>
          <w:rFonts w:hint="default" w:ascii="Times New Roman" w:hAnsi="Times New Roman" w:eastAsia="仿宋_GB2312" w:cs="Times New Roman"/>
          <w:b/>
          <w:bCs/>
          <w:color w:val="000000" w:themeColor="text1"/>
          <w:sz w:val="32"/>
          <w:szCs w:val="32"/>
          <w14:textFill>
            <w14:solidFill>
              <w14:schemeClr w14:val="tx1"/>
            </w14:solidFill>
          </w14:textFill>
        </w:rPr>
        <w:t>从我市看，</w:t>
      </w:r>
      <w:r>
        <w:rPr>
          <w:rFonts w:hint="default" w:ascii="Times New Roman" w:hAnsi="Times New Roman" w:eastAsia="仿宋_GB2312" w:cs="Times New Roman"/>
          <w:color w:val="000000" w:themeColor="text1"/>
          <w:sz w:val="32"/>
          <w:szCs w:val="32"/>
          <w14:textFill>
            <w14:solidFill>
              <w14:schemeClr w14:val="tx1"/>
            </w14:solidFill>
          </w14:textFill>
        </w:rPr>
        <w:t>长三角一体化发展、长江经济带、“一带一路”等国家战略叠加实施，“5+1”铁路网络加速构建，娄江新城全面起势，</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优质资源高效集聚，项目建设持续突破，经济增速领跑苏州，</w:t>
      </w:r>
      <w:r>
        <w:rPr>
          <w:rFonts w:hint="default" w:ascii="Times New Roman" w:hAnsi="Times New Roman" w:eastAsia="仿宋_GB2312" w:cs="Times New Roman"/>
          <w:color w:val="000000" w:themeColor="text1"/>
          <w:sz w:val="32"/>
          <w:szCs w:val="32"/>
          <w14:textFill>
            <w14:solidFill>
              <w14:schemeClr w14:val="tx1"/>
            </w14:solidFill>
          </w14:textFill>
        </w:rPr>
        <w:t>太仓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正处于将战略机遇转化为发展红利的跨越发展期。</w:t>
      </w:r>
      <w:r>
        <w:rPr>
          <w:rFonts w:hint="default" w:ascii="Times New Roman" w:hAnsi="Times New Roman" w:eastAsia="仿宋_GB2312" w:cs="Times New Roman"/>
          <w:color w:val="000000" w:themeColor="text1"/>
          <w:sz w:val="32"/>
          <w:szCs w:val="32"/>
          <w14:textFill>
            <w14:solidFill>
              <w14:schemeClr w14:val="tx1"/>
            </w14:solidFill>
          </w14:textFill>
        </w:rPr>
        <w:t>我们要以苏州推进四个“高质量一体化”为契机，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稳中求进、勇攀新高，在现代化建设新征程上扛起光荣使命，</w:t>
      </w:r>
      <w:r>
        <w:rPr>
          <w:rFonts w:hint="default" w:ascii="Times New Roman" w:hAnsi="Times New Roman" w:eastAsia="仿宋_GB2312" w:cs="Times New Roman"/>
          <w:color w:val="000000" w:themeColor="text1"/>
          <w:sz w:val="32"/>
          <w:szCs w:val="32"/>
          <w14:textFill>
            <w14:solidFill>
              <w14:schemeClr w14:val="tx1"/>
            </w14:solidFill>
          </w14:textFill>
        </w:rPr>
        <w:t>奋力实现更快发展、更高质量、更大贡献，不断开拓</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现代化建设</w:t>
      </w:r>
      <w:r>
        <w:rPr>
          <w:rFonts w:hint="default" w:ascii="Times New Roman" w:hAnsi="Times New Roman" w:eastAsia="仿宋_GB2312" w:cs="Times New Roman"/>
          <w:color w:val="000000" w:themeColor="text1"/>
          <w:sz w:val="32"/>
          <w:szCs w:val="32"/>
          <w14:textFill>
            <w14:solidFill>
              <w14:schemeClr w14:val="tx1"/>
            </w14:solidFill>
          </w14:textFill>
        </w:rPr>
        <w:t>新境界。因此，拟将2022年地区生产总值目标定为增长6%左右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一般公共预算收入目标定为增长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14:textFill>
            <w14:solidFill>
              <w14:schemeClr w14:val="tx1"/>
            </w14:solidFill>
          </w14:textFill>
        </w:rPr>
        <w:t>。为此，要突出集群式发展方向，聚焦专业化细分领域，推动高端装备、新材料、物贸总部等产业扩大优势、做精做强。加强与中航工业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中国商飞合作对接，加快达索系统等项目建设，高标准建设航空航天产业园，做亮“做航空、到太仓”名片。全力构建生物医药产业“一园三区”发展格局，抓好生物医药产业园建设，加快昭衍生物硅谷新药创</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制</w:t>
      </w:r>
      <w:r>
        <w:rPr>
          <w:rFonts w:hint="default" w:ascii="Times New Roman" w:hAnsi="Times New Roman" w:eastAsia="仿宋_GB2312" w:cs="Times New Roman"/>
          <w:color w:val="000000" w:themeColor="text1"/>
          <w:sz w:val="32"/>
          <w:szCs w:val="32"/>
          <w14:textFill>
            <w14:solidFill>
              <w14:schemeClr w14:val="tx1"/>
            </w14:solidFill>
          </w14:textFill>
        </w:rPr>
        <w:t>中心等项目建设，打造长三角</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特色</w:t>
      </w:r>
      <w:r>
        <w:rPr>
          <w:rFonts w:hint="default" w:ascii="Times New Roman" w:hAnsi="Times New Roman" w:eastAsia="仿宋_GB2312" w:cs="Times New Roman"/>
          <w:color w:val="000000" w:themeColor="text1"/>
          <w:sz w:val="32"/>
          <w:szCs w:val="32"/>
          <w14:textFill>
            <w14:solidFill>
              <w14:schemeClr w14:val="tx1"/>
            </w14:solidFill>
          </w14:textFill>
        </w:rPr>
        <w:t>生物医药产业集群。壮大数字服务、现代物流、科技服务、商务服务四大生产性服务业规模，提升文化旅游、教育培训和养老服务三大生活性服务业品质，努力将太仓打造成临沪科创服务示范区、虹桥枢纽服务协同区和长三角幸福生活窗口。</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聚焦创新发展。</w:t>
      </w:r>
      <w:r>
        <w:rPr>
          <w:rFonts w:hint="default" w:ascii="Times New Roman" w:hAnsi="Times New Roman" w:eastAsia="仿宋_GB2312" w:cs="Times New Roman"/>
          <w:color w:val="000000" w:themeColor="text1"/>
          <w:sz w:val="32"/>
          <w:szCs w:val="32"/>
          <w14:textFill>
            <w14:solidFill>
              <w14:schemeClr w14:val="tx1"/>
            </w14:solidFill>
          </w14:textFill>
        </w:rPr>
        <w:t>创新是引领发展的第一动力，抓创新就是抓发展，谋创新就是谋未来。面对日趋激烈的城市竞合发展格局，太仓必须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加快创新发展</w:t>
      </w:r>
      <w:r>
        <w:rPr>
          <w:rFonts w:hint="default" w:ascii="Times New Roman" w:hAnsi="Times New Roman" w:eastAsia="仿宋_GB2312" w:cs="Times New Roman"/>
          <w:color w:val="000000" w:themeColor="text1"/>
          <w:sz w:val="32"/>
          <w:szCs w:val="32"/>
          <w14:textFill>
            <w14:solidFill>
              <w14:schemeClr w14:val="tx1"/>
            </w14:solidFill>
          </w14:textFill>
        </w:rPr>
        <w:t>，提升创新能力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才能突围而出。因此，拟将2022年全社会研发经费支出占地区生产总值比重目标定为3.75%，新兴产业产值占规模以上工业产值比重目标定为保持稳定，高新技术产业产值占规模以上工业产值比重目标定为提高1个百分点。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更快节奏抓好转型升级，推动产业链、创新链、要素链和人才链深度融合，全力构筑产业创新集群</w:t>
      </w:r>
      <w:r>
        <w:rPr>
          <w:rFonts w:hint="default" w:ascii="Times New Roman" w:hAnsi="Times New Roman" w:eastAsia="仿宋_GB2312" w:cs="Times New Roman"/>
          <w:color w:val="000000" w:themeColor="text1"/>
          <w:sz w:val="32"/>
          <w:szCs w:val="32"/>
          <w14:textFill>
            <w14:solidFill>
              <w14:schemeClr w14:val="tx1"/>
            </w14:solidFill>
          </w14:textFill>
        </w:rPr>
        <w:t>。深入实施数字经济与数字化发展三年行动计划，促进数字经济与实体经济融合发展，加快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14:textFill>
            <w14:solidFill>
              <w14:schemeClr w14:val="tx1"/>
            </w14:solidFill>
          </w14:textFill>
        </w:rPr>
        <w:t>“智改数转”“十百千”工程，基本实现全市规模以上工业企业全覆盖。支持民营科技型企业发展，培育一批“专精特新”“独角兽”“瞪羚”企业，增强民营经济活力。发挥“两校多院”资源优势，</w:t>
      </w:r>
      <w:r>
        <w:rPr>
          <w:rFonts w:hint="default" w:ascii="Times New Roman" w:hAnsi="Times New Roman" w:eastAsia="仿宋_GB2312" w:cs="Times New Roman"/>
          <w:color w:val="000000" w:themeColor="text1"/>
          <w:kern w:val="0"/>
          <w:sz w:val="32"/>
          <w:szCs w:val="32"/>
          <w:lang w:bidi="ar"/>
          <w14:textFill>
            <w14:solidFill>
              <w14:schemeClr w14:val="tx1"/>
            </w14:solidFill>
          </w14:textFill>
        </w:rPr>
        <w:t>汇聚国内外高端创新要素</w:t>
      </w:r>
      <w:r>
        <w:rPr>
          <w:rFonts w:hint="default" w:ascii="Times New Roman" w:hAnsi="Times New Roman" w:eastAsia="仿宋_GB2312" w:cs="Times New Roman"/>
          <w:color w:val="000000" w:themeColor="text1"/>
          <w:sz w:val="32"/>
          <w:szCs w:val="32"/>
          <w14:textFill>
            <w14:solidFill>
              <w14:schemeClr w14:val="tx1"/>
            </w14:solidFill>
          </w14:textFill>
        </w:rPr>
        <w:t>。推进长三角先进技术成果转化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研究院</w:t>
      </w:r>
      <w:r>
        <w:rPr>
          <w:rFonts w:hint="default" w:ascii="Times New Roman" w:hAnsi="Times New Roman" w:eastAsia="仿宋_GB2312" w:cs="Times New Roman"/>
          <w:color w:val="000000" w:themeColor="text1"/>
          <w:sz w:val="32"/>
          <w:szCs w:val="32"/>
          <w14:textFill>
            <w14:solidFill>
              <w14:schemeClr w14:val="tx1"/>
            </w14:solidFill>
          </w14:textFill>
        </w:rPr>
        <w:t>太仓孵化基地建设，推动西工大太仓长三角研究院争创国家创新平台。高标准建设智汇谷等科创载体，提升专业化、市场化运营水平。深入实施科技领军人才计划，新增苏州市级以上各类“人才计划”50人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以上</w:t>
      </w:r>
      <w:r>
        <w:rPr>
          <w:rFonts w:hint="default"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聚焦</w:t>
      </w:r>
      <w:r>
        <w:rPr>
          <w:rFonts w:hint="eastAsia" w:ascii="Times New Roman" w:hAnsi="Times New Roman" w:cs="Times New Roman"/>
          <w:b/>
          <w:bCs/>
          <w:color w:val="000000" w:themeColor="text1"/>
          <w:sz w:val="32"/>
          <w:szCs w:val="32"/>
          <w:lang w:val="en-US" w:eastAsia="zh-CN"/>
          <w14:textFill>
            <w14:solidFill>
              <w14:schemeClr w14:val="tx1"/>
            </w14:solidFill>
          </w14:textFill>
        </w:rPr>
        <w:t>内外</w:t>
      </w:r>
      <w:r>
        <w:rPr>
          <w:rFonts w:hint="default" w:ascii="Times New Roman" w:hAnsi="Times New Roman" w:cs="Times New Roman"/>
          <w:b/>
          <w:bCs/>
          <w:color w:val="000000" w:themeColor="text1"/>
          <w:sz w:val="32"/>
          <w:szCs w:val="32"/>
          <w14:textFill>
            <w14:solidFill>
              <w14:schemeClr w14:val="tx1"/>
            </w14:solidFill>
          </w14:textFill>
        </w:rPr>
        <w:t>循环。</w:t>
      </w:r>
      <w:r>
        <w:rPr>
          <w:rFonts w:hint="default" w:ascii="Times New Roman" w:hAnsi="Times New Roman" w:eastAsia="仿宋_GB2312" w:cs="Times New Roman"/>
          <w:color w:val="000000" w:themeColor="text1"/>
          <w:sz w:val="32"/>
          <w:szCs w:val="32"/>
          <w14:textFill>
            <w14:solidFill>
              <w14:schemeClr w14:val="tx1"/>
            </w14:solidFill>
          </w14:textFill>
        </w:rPr>
        <w:t>加快服务和融入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国内国际</w:t>
      </w:r>
      <w:r>
        <w:rPr>
          <w:rFonts w:hint="default" w:ascii="Times New Roman" w:hAnsi="Times New Roman" w:eastAsia="仿宋_GB2312" w:cs="Times New Roman"/>
          <w:color w:val="000000" w:themeColor="text1"/>
          <w:sz w:val="32"/>
          <w:szCs w:val="32"/>
          <w14:textFill>
            <w14:solidFill>
              <w14:schemeClr w14:val="tx1"/>
            </w14:solidFill>
          </w14:textFill>
        </w:rPr>
        <w:t>双循环新发展格局，是太仓实现更高质量发展、更高水平开放的必然要求。因此，我们要以持续扩大内外需求为抓手，提升高质量发展竞争力。</w:t>
      </w:r>
      <w:r>
        <w:rPr>
          <w:rFonts w:hint="default" w:ascii="Times New Roman" w:hAnsi="Times New Roman" w:eastAsia="仿宋_GB2312" w:cs="Times New Roman"/>
          <w:b/>
          <w:bCs/>
          <w:color w:val="000000" w:themeColor="text1"/>
          <w:sz w:val="32"/>
          <w:szCs w:val="32"/>
          <w14:textFill>
            <w14:solidFill>
              <w14:schemeClr w14:val="tx1"/>
            </w14:solidFill>
          </w14:textFill>
        </w:rPr>
        <w:t>消费：</w:t>
      </w:r>
      <w:r>
        <w:rPr>
          <w:rFonts w:hint="default" w:ascii="Times New Roman" w:hAnsi="Times New Roman" w:eastAsia="仿宋_GB2312" w:cs="Times New Roman"/>
          <w:color w:val="000000" w:themeColor="text1"/>
          <w:sz w:val="32"/>
          <w:szCs w:val="32"/>
          <w14:textFill>
            <w14:solidFill>
              <w14:schemeClr w14:val="tx1"/>
            </w14:solidFill>
          </w14:textFill>
        </w:rPr>
        <w:t>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加快</w:t>
      </w:r>
      <w:r>
        <w:rPr>
          <w:rFonts w:hint="default" w:ascii="Times New Roman" w:hAnsi="Times New Roman" w:eastAsia="仿宋_GB2312" w:cs="Times New Roman"/>
          <w:color w:val="000000" w:themeColor="text1"/>
          <w:sz w:val="32"/>
          <w:szCs w:val="32"/>
          <w14:textFill>
            <w14:solidFill>
              <w14:schemeClr w14:val="tx1"/>
            </w14:solidFill>
          </w14:textFill>
        </w:rPr>
        <w:t>促进消费持续恢复，拟将2022年社会消费品零售总额目标定为增长8%左右。加快推动消费新业态发展，持续擦亮“夜太美”品牌，举办好“五五购物节”“双12购物节”等消费促进活动。加快推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进</w:t>
      </w:r>
      <w:r>
        <w:rPr>
          <w:rFonts w:hint="default" w:ascii="Times New Roman" w:hAnsi="Times New Roman" w:eastAsia="仿宋_GB2312" w:cs="Times New Roman"/>
          <w:color w:val="000000" w:themeColor="text1"/>
          <w:sz w:val="32"/>
          <w:szCs w:val="32"/>
          <w14:textFill>
            <w14:solidFill>
              <w14:schemeClr w14:val="tx1"/>
            </w14:solidFill>
          </w14:textFill>
        </w:rPr>
        <w:t>复星复游城等文旅项目建设，优化整合农文旅资源，</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争创国家级全域旅游示范区</w:t>
      </w:r>
      <w:r>
        <w:rPr>
          <w:rFonts w:hint="default" w:ascii="Times New Roman" w:hAnsi="Times New Roman" w:eastAsia="仿宋_GB2312" w:cs="Times New Roman"/>
          <w:color w:val="000000" w:themeColor="text1"/>
          <w:sz w:val="32"/>
          <w:szCs w:val="32"/>
          <w14:textFill>
            <w14:solidFill>
              <w14:schemeClr w14:val="tx1"/>
            </w14:solidFill>
          </w14:textFill>
        </w:rPr>
        <w:t>。推动腾讯天美电竞太仓基地建设，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支持</w:t>
      </w:r>
      <w:r>
        <w:rPr>
          <w:rFonts w:hint="default" w:ascii="Times New Roman" w:hAnsi="Times New Roman" w:eastAsia="仿宋_GB2312" w:cs="Times New Roman"/>
          <w:color w:val="000000" w:themeColor="text1"/>
          <w:sz w:val="32"/>
          <w:szCs w:val="32"/>
          <w14:textFill>
            <w14:solidFill>
              <w14:schemeClr w14:val="tx1"/>
            </w14:solidFill>
          </w14:textFill>
        </w:rPr>
        <w:t>电子竞技、数字文创等</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产业创新</w:t>
      </w:r>
      <w:r>
        <w:rPr>
          <w:rFonts w:hint="default" w:ascii="Times New Roman" w:hAnsi="Times New Roman" w:eastAsia="仿宋_GB2312" w:cs="Times New Roman"/>
          <w:color w:val="000000" w:themeColor="text1"/>
          <w:sz w:val="32"/>
          <w:szCs w:val="32"/>
          <w14:textFill>
            <w14:solidFill>
              <w14:schemeClr w14:val="tx1"/>
            </w14:solidFill>
          </w14:textFill>
        </w:rPr>
        <w:t>发展，培育消费发展新优势。</w:t>
      </w:r>
      <w:r>
        <w:rPr>
          <w:rFonts w:hint="default" w:ascii="Times New Roman" w:hAnsi="Times New Roman" w:eastAsia="仿宋_GB2312" w:cs="Times New Roman"/>
          <w:b/>
          <w:bCs/>
          <w:color w:val="000000" w:themeColor="text1"/>
          <w:sz w:val="32"/>
          <w:szCs w:val="32"/>
          <w14:textFill>
            <w14:solidFill>
              <w14:schemeClr w14:val="tx1"/>
            </w14:solidFill>
          </w14:textFill>
        </w:rPr>
        <w:t>投资：</w:t>
      </w:r>
      <w:r>
        <w:rPr>
          <w:rFonts w:hint="default" w:ascii="Times New Roman" w:hAnsi="Times New Roman" w:eastAsia="仿宋_GB2312" w:cs="Times New Roman"/>
          <w:color w:val="000000" w:themeColor="text1"/>
          <w:sz w:val="32"/>
          <w:szCs w:val="32"/>
          <w14:textFill>
            <w14:solidFill>
              <w14:schemeClr w14:val="tx1"/>
            </w14:solidFill>
          </w14:textFill>
        </w:rPr>
        <w:t>要进一步扩大有效投资，增强发展内生动力。拟将2022年全社会固定资产投资目标定为增长8%左右。计划安排市级重点项目183个，年度计划投资581亿元；其中拟申报省重大项目28个、苏州重点项目50个。加快启动吉太航空机载系统等重点项目建设，推动嘉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太</w:t>
      </w:r>
      <w:r>
        <w:rPr>
          <w:rFonts w:hint="default" w:ascii="Times New Roman" w:hAnsi="Times New Roman" w:eastAsia="仿宋_GB2312" w:cs="Times New Roman"/>
          <w:color w:val="000000" w:themeColor="text1"/>
          <w:sz w:val="32"/>
          <w:szCs w:val="32"/>
          <w14:textFill>
            <w14:solidFill>
              <w14:schemeClr w14:val="tx1"/>
            </w14:solidFill>
          </w14:textFill>
        </w:rPr>
        <w:t>线太仓段全线开工，着力推进舍弗勒新基地等项目续建。落实落细签约洽谈项目推进机制，强化资金、土地、能源等要素保障，形成在谈一批、签约一批、开工一批、投产一批的良性循环。</w:t>
      </w:r>
      <w:r>
        <w:rPr>
          <w:rFonts w:hint="default" w:ascii="Times New Roman" w:hAnsi="Times New Roman" w:eastAsia="仿宋_GB2312" w:cs="Times New Roman"/>
          <w:b/>
          <w:bCs/>
          <w:color w:val="000000" w:themeColor="text1"/>
          <w:sz w:val="32"/>
          <w:szCs w:val="32"/>
          <w14:textFill>
            <w14:solidFill>
              <w14:schemeClr w14:val="tx1"/>
            </w14:solidFill>
          </w14:textFill>
        </w:rPr>
        <w:t>进出口：</w:t>
      </w:r>
      <w:r>
        <w:rPr>
          <w:rFonts w:hint="default" w:ascii="Times New Roman" w:hAnsi="Times New Roman" w:eastAsia="仿宋_GB2312" w:cs="Times New Roman"/>
          <w:color w:val="000000" w:themeColor="text1"/>
          <w:sz w:val="32"/>
          <w:szCs w:val="32"/>
          <w14:textFill>
            <w14:solidFill>
              <w14:schemeClr w14:val="tx1"/>
            </w14:solidFill>
          </w14:textFill>
        </w:rPr>
        <w:t>2022年外贸形势面临诸多挑战，叠加2021年高基数影响，预计增速将逐步放缓。因此，拟将2022年进出口总额目标定为总体稳定。要深化自贸区联动创新区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建设</w:t>
      </w:r>
      <w:r>
        <w:rPr>
          <w:rFonts w:hint="default" w:ascii="Times New Roman" w:hAnsi="Times New Roman" w:eastAsia="仿宋_GB2312" w:cs="Times New Roman"/>
          <w:color w:val="000000" w:themeColor="text1"/>
          <w:sz w:val="32"/>
          <w:szCs w:val="32"/>
          <w14:textFill>
            <w14:solidFill>
              <w14:schemeClr w14:val="tx1"/>
            </w14:solidFill>
          </w14:textFill>
        </w:rPr>
        <w:t>，大力发展跨境电商、离岸贸易、服务贸易等外贸新</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业态</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推动对外贸易扩量提质</w:t>
      </w:r>
      <w:r>
        <w:rPr>
          <w:rFonts w:hint="default" w:ascii="Times New Roman" w:hAnsi="Times New Roman" w:eastAsia="仿宋_GB2312" w:cs="Times New Roman"/>
          <w:color w:val="000000" w:themeColor="text1"/>
          <w:sz w:val="32"/>
          <w:szCs w:val="32"/>
          <w14:textFill>
            <w14:solidFill>
              <w14:schemeClr w14:val="tx1"/>
            </w14:solidFill>
          </w14:textFill>
        </w:rPr>
        <w:t>。着力用好RCEP机遇，深化与东盟等地区交流合作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支持企业开拓多元化市场</w:t>
      </w:r>
      <w:r>
        <w:rPr>
          <w:rFonts w:hint="default" w:ascii="Times New Roman" w:hAnsi="Times New Roman" w:eastAsia="仿宋_GB2312" w:cs="Times New Roman"/>
          <w:color w:val="000000" w:themeColor="text1"/>
          <w:sz w:val="32"/>
          <w:szCs w:val="32"/>
          <w14:textFill>
            <w14:solidFill>
              <w14:schemeClr w14:val="tx1"/>
            </w14:solidFill>
          </w14:textFill>
        </w:rPr>
        <w:t>。加快建设中德中小企业合作示范区，更大力度招引头部德企和“隐形冠军”，力争引进德企40家。</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聚焦绿色生态。</w:t>
      </w:r>
      <w:r>
        <w:rPr>
          <w:rFonts w:hint="default" w:ascii="Times New Roman" w:hAnsi="Times New Roman" w:eastAsia="仿宋_GB2312" w:cs="Times New Roman"/>
          <w:color w:val="000000" w:themeColor="text1"/>
          <w:sz w:val="32"/>
          <w:szCs w:val="32"/>
          <w14:textFill>
            <w14:solidFill>
              <w14:schemeClr w14:val="tx1"/>
            </w14:solidFill>
          </w14:textFill>
        </w:rPr>
        <w:t>近年来，我市始终坚持生态优先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绿色发展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绘就了“城在田中、园在城中”的现代田园美好图景。</w:t>
      </w:r>
      <w:r>
        <w:rPr>
          <w:rFonts w:hint="default" w:ascii="Times New Roman" w:hAnsi="Times New Roman" w:eastAsia="仿宋_GB2312" w:cs="Times New Roman"/>
          <w:color w:val="000000" w:themeColor="text1"/>
          <w:sz w:val="32"/>
          <w:szCs w:val="32"/>
          <w14:textFill>
            <w14:solidFill>
              <w14:schemeClr w14:val="tx1"/>
            </w14:solidFill>
          </w14:textFill>
        </w:rPr>
        <w:t>我们必须持续推进“美丽太仓”建设，</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做优做亮城市鲜明底色</w:t>
      </w:r>
      <w:r>
        <w:rPr>
          <w:rFonts w:hint="default" w:ascii="Times New Roman" w:hAnsi="Times New Roman" w:eastAsia="仿宋_GB2312" w:cs="Times New Roman"/>
          <w:color w:val="000000" w:themeColor="text1"/>
          <w:sz w:val="32"/>
          <w:szCs w:val="32"/>
          <w14:textFill>
            <w14:solidFill>
              <w14:schemeClr w14:val="tx1"/>
            </w14:solidFill>
          </w14:textFill>
        </w:rPr>
        <w:t>。因此，拟将2022年PM</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2.5</w:t>
      </w:r>
      <w:r>
        <w:rPr>
          <w:rFonts w:hint="default" w:ascii="Times New Roman" w:hAnsi="Times New Roman" w:eastAsia="仿宋_GB2312" w:cs="Times New Roman"/>
          <w:color w:val="000000" w:themeColor="text1"/>
          <w:sz w:val="32"/>
          <w:szCs w:val="32"/>
          <w14:textFill>
            <w14:solidFill>
              <w14:schemeClr w14:val="tx1"/>
            </w14:solidFill>
          </w14:textFill>
        </w:rPr>
        <w:t>年均浓度和单位地区生产总值能耗下降率目标定为完成苏州下达任务，地表水达到或好于Ⅲ类水体比例目标定为100%。</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要持续推进</w:t>
      </w:r>
      <w:r>
        <w:rPr>
          <w:rFonts w:hint="default" w:ascii="Times New Roman" w:hAnsi="Times New Roman" w:eastAsia="仿宋_GB2312" w:cs="Times New Roman"/>
          <w:color w:val="000000" w:themeColor="text1"/>
          <w:sz w:val="32"/>
          <w:szCs w:val="32"/>
          <w14:textFill>
            <w14:solidFill>
              <w14:schemeClr w14:val="tx1"/>
            </w14:solidFill>
          </w14:textFill>
        </w:rPr>
        <w:t>PM</w:t>
      </w:r>
      <w:r>
        <w:rPr>
          <w:rFonts w:hint="default" w:ascii="Times New Roman" w:hAnsi="Times New Roman" w:eastAsia="仿宋_GB2312" w:cs="Times New Roman"/>
          <w:color w:val="000000" w:themeColor="text1"/>
          <w:sz w:val="32"/>
          <w:szCs w:val="32"/>
          <w:vertAlign w:val="subscript"/>
          <w14:textFill>
            <w14:solidFill>
              <w14:schemeClr w14:val="tx1"/>
            </w14:solidFill>
          </w14:textFill>
        </w:rPr>
        <w:t>2.5</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和臭氧</w:t>
      </w:r>
      <w:r>
        <w:rPr>
          <w:rFonts w:hint="default" w:ascii="Times New Roman" w:hAnsi="Times New Roman" w:eastAsia="仿宋_GB2312" w:cs="Times New Roman"/>
          <w:color w:val="000000" w:themeColor="text1"/>
          <w:sz w:val="32"/>
          <w:szCs w:val="32"/>
          <w14:textFill>
            <w14:solidFill>
              <w14:schemeClr w14:val="tx1"/>
            </w14:solidFill>
          </w14:textFill>
        </w:rPr>
        <w:t>浓度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双减双控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提高挥发性有机物治理实效，确保空气质量继续位居全省前列。</w:t>
      </w:r>
      <w:r>
        <w:rPr>
          <w:rFonts w:hint="default" w:ascii="Times New Roman" w:hAnsi="Times New Roman" w:eastAsia="仿宋_GB2312" w:cs="Times New Roman"/>
          <w:color w:val="000000" w:themeColor="text1"/>
          <w:sz w:val="32"/>
          <w:szCs w:val="32"/>
          <w14:textFill>
            <w14:solidFill>
              <w14:schemeClr w14:val="tx1"/>
            </w14:solidFill>
          </w14:textFill>
        </w:rPr>
        <w:t>加快推进产业、能源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空间</w:t>
      </w:r>
      <w:r>
        <w:rPr>
          <w:rFonts w:hint="default" w:ascii="Times New Roman" w:hAnsi="Times New Roman" w:eastAsia="仿宋_GB2312" w:cs="Times New Roman"/>
          <w:color w:val="000000" w:themeColor="text1"/>
          <w:sz w:val="32"/>
          <w:szCs w:val="32"/>
          <w14:textFill>
            <w14:solidFill>
              <w14:schemeClr w14:val="tx1"/>
            </w14:solidFill>
          </w14:textFill>
        </w:rPr>
        <w:t>结构转型，推动减污降碳协同增效，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创造条件</w:t>
      </w:r>
      <w:r>
        <w:rPr>
          <w:rFonts w:hint="default" w:ascii="Times New Roman" w:hAnsi="Times New Roman" w:eastAsia="仿宋_GB2312" w:cs="Times New Roman"/>
          <w:color w:val="000000" w:themeColor="text1"/>
          <w:sz w:val="32"/>
          <w:szCs w:val="32"/>
          <w14:textFill>
            <w14:solidFill>
              <w14:schemeClr w14:val="tx1"/>
            </w14:solidFill>
          </w14:textFill>
        </w:rPr>
        <w:t>尽早实现能耗“双控”向碳排放总量和强度“双控”转变。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高标准建设污水处理提质增效达标区，</w:t>
      </w:r>
      <w:r>
        <w:rPr>
          <w:rFonts w:hint="default" w:ascii="Times New Roman" w:hAnsi="Times New Roman" w:eastAsia="仿宋_GB2312" w:cs="Times New Roman"/>
          <w:color w:val="000000" w:themeColor="text1"/>
          <w:sz w:val="32"/>
          <w:szCs w:val="32"/>
          <w14:textFill>
            <w14:solidFill>
              <w14:schemeClr w14:val="tx1"/>
            </w14:solidFill>
          </w14:textFill>
        </w:rPr>
        <w:t>有序推进城东水质净化厂等项目建设。高品质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推进</w:t>
      </w:r>
      <w:r>
        <w:rPr>
          <w:rFonts w:hint="default" w:ascii="Times New Roman" w:hAnsi="Times New Roman" w:eastAsia="仿宋_GB2312" w:cs="Times New Roman"/>
          <w:color w:val="000000" w:themeColor="text1"/>
          <w:sz w:val="32"/>
          <w:szCs w:val="32"/>
          <w14:textFill>
            <w14:solidFill>
              <w14:schemeClr w14:val="tx1"/>
            </w14:solidFill>
          </w14:textFill>
        </w:rPr>
        <w:t>生态美丽河湖建设，积极打造七浦塘、浏河塘等生态美丽河湖示范区。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聚焦共同富裕。</w:t>
      </w:r>
      <w:r>
        <w:rPr>
          <w:rFonts w:hint="default" w:ascii="Times New Roman" w:hAnsi="Times New Roman" w:eastAsia="仿宋_GB2312" w:cs="Times New Roman"/>
          <w:color w:val="000000" w:themeColor="text1"/>
          <w:sz w:val="32"/>
          <w:szCs w:val="32"/>
          <w14:textFill>
            <w14:solidFill>
              <w14:schemeClr w14:val="tx1"/>
            </w14:solidFill>
          </w14:textFill>
        </w:rPr>
        <w:t>共同富裕是社会主义现代化的重要特征，也是高质量发展的出发点和落脚点。因此，拟将2022年居民人均可支配收入目标定为与地区生产总值增长同步，城镇登记失业率目标定为控制在2.5%以内。要</w:t>
      </w:r>
      <w:r>
        <w:rPr>
          <w:rFonts w:ascii="Times New Roman" w:hAnsi="Times New Roman" w:eastAsia="仿宋_GB2312"/>
          <w:sz w:val="32"/>
          <w:szCs w:val="32"/>
        </w:rPr>
        <w:t>健全多层次社会保障体系，</w:t>
      </w:r>
      <w:r>
        <w:rPr>
          <w:rFonts w:hint="default" w:ascii="Times New Roman" w:hAnsi="Times New Roman" w:eastAsia="仿宋_GB2312" w:cs="Times New Roman"/>
          <w:color w:val="000000" w:themeColor="text1"/>
          <w:sz w:val="32"/>
          <w:szCs w:val="32"/>
          <w14:textFill>
            <w14:solidFill>
              <w14:schemeClr w14:val="tx1"/>
            </w14:solidFill>
          </w14:textFill>
        </w:rPr>
        <w:t>进一步缩小城乡差距、收入差距，全面提高富民保障水平。实施就业优先政策，加大援企稳岗、职业技能提升与创业扶持力度，促进更充分和更高质量就业。实施旧城区改建项目（附件2），推进土地征收成片开发年度方案（附件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sz w:val="32"/>
          <w:szCs w:val="32"/>
        </w:rPr>
        <w:t>全力办好民生实事</w:t>
      </w:r>
      <w:r>
        <w:rPr>
          <w:rFonts w:hint="eastAsia" w:ascii="Times New Roman" w:hAnsi="Times New Roman" w:eastAsia="仿宋_GB2312"/>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优化公共服务供给，提高服务均等化水平。加快保障性住房建设，促进房地产业健康发展。</w:t>
      </w:r>
      <w:r>
        <w:rPr>
          <w:rFonts w:ascii="Times New Roman" w:hAnsi="Times New Roman" w:eastAsia="仿宋_GB2312"/>
          <w:sz w:val="32"/>
          <w:szCs w:val="32"/>
        </w:rPr>
        <w:t>维护市场价格秩序，确保物价稳定。</w:t>
      </w:r>
      <w:r>
        <w:rPr>
          <w:rFonts w:hint="default" w:ascii="Times New Roman" w:hAnsi="Times New Roman" w:eastAsia="仿宋_GB2312" w:cs="Times New Roman"/>
          <w:color w:val="000000" w:themeColor="text1"/>
          <w:sz w:val="32"/>
          <w:szCs w:val="32"/>
          <w14:textFill>
            <w14:solidFill>
              <w14:schemeClr w14:val="tx1"/>
            </w14:solidFill>
          </w14:textFill>
        </w:rPr>
        <w:t>坚持统筹发展和安全的原则，拟将2022年单位地区生产总值生产安全事故死亡率目标定为持续下降。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要</w:t>
      </w:r>
      <w:r>
        <w:rPr>
          <w:rFonts w:hint="default" w:ascii="Times New Roman" w:hAnsi="Times New Roman" w:eastAsia="仿宋_GB2312" w:cs="Times New Roman"/>
          <w:color w:val="000000" w:themeColor="text1"/>
          <w:sz w:val="32"/>
          <w:szCs w:val="32"/>
          <w14:textFill>
            <w14:solidFill>
              <w14:schemeClr w14:val="tx1"/>
            </w14:solidFill>
          </w14:textFill>
        </w:rPr>
        <w:t>慎终如始抓好常态化疫情防控。深入开展安全生产专项整治，加强食品药品安全监管，完善应急管理体系，全力创建省级安全发展示范城市。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各位代表，太仓正处于跨越</w:t>
      </w:r>
      <w:r>
        <w:rPr>
          <w:rFonts w:hint="eastAsia" w:ascii="Times New Roman" w:hAnsi="Times New Roman" w:eastAsia="仿宋_GB2312" w:cs="Times New Roman"/>
          <w:sz w:val="32"/>
          <w:szCs w:val="32"/>
          <w:lang w:val="en-US" w:eastAsia="zh-CN"/>
        </w:rPr>
        <w:t>发展</w:t>
      </w:r>
      <w:r>
        <w:rPr>
          <w:rFonts w:hint="default" w:ascii="Times New Roman" w:hAnsi="Times New Roman" w:eastAsia="仿宋_GB2312" w:cs="Times New Roman"/>
          <w:sz w:val="32"/>
          <w:szCs w:val="32"/>
        </w:rPr>
        <w:t>的关键期，任务艰巨，责任重大。</w:t>
      </w:r>
      <w:r>
        <w:rPr>
          <w:rFonts w:hint="default" w:ascii="Times New Roman" w:hAnsi="Times New Roman" w:eastAsia="仿宋_GB2312" w:cs="Times New Roman"/>
          <w:kern w:val="0"/>
          <w:sz w:val="31"/>
          <w:szCs w:val="31"/>
          <w:lang w:bidi="ar"/>
        </w:rPr>
        <w:t>路虽远，行将必至；事虽难，做则必成。让我们在中共太仓市委的坚强领导下，在市人大、政协的监督支持下，紧紧团结和依靠全市人民，撸起袖子加油干，解放思想创新干，扑下身子务实干，奋力拼出“太仓速度”，</w:t>
      </w:r>
      <w:r>
        <w:rPr>
          <w:rFonts w:hint="eastAsia" w:ascii="Times New Roman" w:hAnsi="Times New Roman" w:eastAsia="仿宋_GB2312" w:cs="Times New Roman"/>
          <w:kern w:val="0"/>
          <w:sz w:val="31"/>
          <w:szCs w:val="31"/>
          <w:lang w:val="en-US" w:eastAsia="zh-CN" w:bidi="ar"/>
        </w:rPr>
        <w:t>在推动高质量发展、建设“现代田园城、幸福金太仓”的跑道上振翅高飞，</w:t>
      </w:r>
      <w:r>
        <w:rPr>
          <w:rFonts w:hint="default" w:ascii="Times New Roman" w:hAnsi="Times New Roman" w:eastAsia="仿宋_GB2312" w:cs="Times New Roman"/>
          <w:sz w:val="32"/>
          <w:szCs w:val="32"/>
        </w:rPr>
        <w:t>以优异成绩迎接党的二十大胜利召开</w:t>
      </w:r>
      <w:r>
        <w:rPr>
          <w:rFonts w:hint="eastAsia" w:ascii="Times New Roman" w:hAnsi="Times New Roman" w:eastAsia="仿宋_GB2312" w:cs="Times New Roman"/>
          <w:sz w:val="32"/>
          <w:szCs w:val="32"/>
          <w:lang w:eastAsia="zh-CN"/>
        </w:rPr>
        <w:t>！</w:t>
      </w:r>
    </w:p>
    <w:p>
      <w:pPr>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br w:type="page"/>
      </w:r>
    </w:p>
    <w:p>
      <w:pPr>
        <w:spacing w:line="500" w:lineRule="exact"/>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附件1</w:t>
      </w:r>
    </w:p>
    <w:p>
      <w:pPr>
        <w:pStyle w:val="2"/>
        <w:rPr>
          <w:rFonts w:hint="default"/>
        </w:rPr>
      </w:pPr>
    </w:p>
    <w:p>
      <w:pPr>
        <w:spacing w:line="50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r>
        <w:rPr>
          <w:rFonts w:hint="default" w:ascii="Times New Roman" w:hAnsi="Times New Roman" w:eastAsia="宋体" w:cs="Times New Roman"/>
          <w:b/>
          <w:color w:val="000000" w:themeColor="text1"/>
          <w:spacing w:val="-20"/>
          <w:sz w:val="36"/>
          <w:szCs w:val="36"/>
          <w14:textFill>
            <w14:solidFill>
              <w14:schemeClr w14:val="tx1"/>
            </w14:solidFill>
          </w14:textFill>
        </w:rPr>
        <w:t>太仓市2021年国民经济和社会发展主要指标计划执行情况</w:t>
      </w:r>
    </w:p>
    <w:p>
      <w:pPr>
        <w:spacing w:line="500" w:lineRule="exact"/>
        <w:jc w:val="center"/>
        <w:rPr>
          <w:rFonts w:hint="default" w:ascii="Times New Roman" w:hAnsi="Times New Roman" w:eastAsia="宋体" w:cs="Times New Roman"/>
          <w:b/>
          <w:color w:val="000000" w:themeColor="text1"/>
          <w:spacing w:val="-20"/>
          <w:sz w:val="36"/>
          <w:szCs w:val="36"/>
          <w14:textFill>
            <w14:solidFill>
              <w14:schemeClr w14:val="tx1"/>
            </w14:solidFill>
          </w14:textFill>
        </w:rPr>
      </w:pPr>
      <w:r>
        <w:rPr>
          <w:rFonts w:hint="default" w:ascii="Times New Roman" w:hAnsi="Times New Roman" w:eastAsia="宋体" w:cs="Times New Roman"/>
          <w:b/>
          <w:color w:val="000000" w:themeColor="text1"/>
          <w:spacing w:val="-20"/>
          <w:sz w:val="36"/>
          <w:szCs w:val="36"/>
          <w14:textFill>
            <w14:solidFill>
              <w14:schemeClr w14:val="tx1"/>
            </w14:solidFill>
          </w14:textFill>
        </w:rPr>
        <w:t>和2022年建议目标</w:t>
      </w:r>
    </w:p>
    <w:tbl>
      <w:tblPr>
        <w:tblStyle w:val="9"/>
        <w:tblW w:w="9513" w:type="dxa"/>
        <w:jc w:val="center"/>
        <w:tblLayout w:type="fixed"/>
        <w:tblCellMar>
          <w:top w:w="15" w:type="dxa"/>
          <w:left w:w="15" w:type="dxa"/>
          <w:bottom w:w="15" w:type="dxa"/>
          <w:right w:w="15" w:type="dxa"/>
        </w:tblCellMar>
      </w:tblPr>
      <w:tblGrid>
        <w:gridCol w:w="4270"/>
        <w:gridCol w:w="1545"/>
        <w:gridCol w:w="2070"/>
        <w:gridCol w:w="1628"/>
      </w:tblGrid>
      <w:tr>
        <w:tblPrEx>
          <w:tblCellMar>
            <w:top w:w="15" w:type="dxa"/>
            <w:left w:w="15" w:type="dxa"/>
            <w:bottom w:w="15" w:type="dxa"/>
            <w:right w:w="15" w:type="dxa"/>
          </w:tblCellMar>
        </w:tblPrEx>
        <w:trPr>
          <w:trHeight w:val="865"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spacing w:line="300" w:lineRule="exact"/>
              <w:ind w:firstLine="422"/>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指      标</w:t>
            </w:r>
          </w:p>
        </w:tc>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2021</w:t>
            </w:r>
            <w:r>
              <w:rPr>
                <w:rStyle w:val="15"/>
                <w:rFonts w:hint="default" w:ascii="Times New Roman" w:hAnsi="Times New Roman" w:cs="Times New Roman"/>
                <w:b/>
                <w:color w:val="000000" w:themeColor="text1"/>
                <w14:textFill>
                  <w14:solidFill>
                    <w14:schemeClr w14:val="tx1"/>
                  </w14:solidFill>
                </w14:textFill>
              </w:rPr>
              <w:t>年</w:t>
            </w:r>
          </w:p>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年度预期目标</w:t>
            </w:r>
          </w:p>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（比上年）</w:t>
            </w:r>
          </w:p>
        </w:tc>
        <w:tc>
          <w:tcPr>
            <w:tcW w:w="2070" w:type="dxa"/>
            <w:tcBorders>
              <w:top w:val="single" w:color="000000" w:sz="6" w:space="0"/>
              <w:left w:val="single" w:color="000000" w:sz="6" w:space="0"/>
              <w:bottom w:val="single" w:color="000000" w:sz="6" w:space="0"/>
              <w:right w:val="single" w:color="000000" w:sz="6" w:space="0"/>
            </w:tcBorders>
            <w:vAlign w:val="center"/>
          </w:tcPr>
          <w:p>
            <w:pPr>
              <w:spacing w:line="300" w:lineRule="exact"/>
              <w:ind w:leftChars="-6" w:hanging="13" w:hangingChars="6"/>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2021年</w:t>
            </w:r>
          </w:p>
          <w:p>
            <w:pPr>
              <w:spacing w:line="300" w:lineRule="exact"/>
              <w:ind w:leftChars="-6" w:hanging="13" w:hangingChars="6"/>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预计完成情况</w:t>
            </w:r>
          </w:p>
          <w:p>
            <w:pPr>
              <w:spacing w:line="300" w:lineRule="exact"/>
              <w:ind w:leftChars="-6" w:hanging="13" w:hangingChars="6"/>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（比上年）</w:t>
            </w:r>
          </w:p>
        </w:tc>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2022年</w:t>
            </w:r>
          </w:p>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年度预期目标</w:t>
            </w:r>
          </w:p>
          <w:p>
            <w:pPr>
              <w:spacing w:line="300" w:lineRule="exact"/>
              <w:jc w:val="center"/>
              <w:textAlignment w:val="center"/>
              <w:rPr>
                <w:rFonts w:hint="default" w:ascii="Times New Roman" w:hAnsi="Times New Roman" w:eastAsia="仿宋_GB2312" w:cs="Times New Roman"/>
                <w:b/>
                <w:color w:val="000000" w:themeColor="text1"/>
                <w:szCs w:val="21"/>
                <w14:textFill>
                  <w14:solidFill>
                    <w14:schemeClr w14:val="tx1"/>
                  </w14:solidFill>
                </w14:textFill>
              </w:rPr>
            </w:pPr>
            <w:r>
              <w:rPr>
                <w:rFonts w:hint="default" w:ascii="Times New Roman" w:hAnsi="Times New Roman" w:eastAsia="仿宋_GB2312" w:cs="Times New Roman"/>
                <w:b/>
                <w:color w:val="000000" w:themeColor="text1"/>
                <w:szCs w:val="21"/>
                <w14:textFill>
                  <w14:solidFill>
                    <w14:schemeClr w14:val="tx1"/>
                  </w14:solidFill>
                </w14:textFill>
              </w:rPr>
              <w:t>（比上年）</w:t>
            </w:r>
          </w:p>
        </w:tc>
      </w:tr>
      <w:tr>
        <w:tblPrEx>
          <w:tblCellMar>
            <w:top w:w="15" w:type="dxa"/>
            <w:left w:w="15" w:type="dxa"/>
            <w:bottom w:w="15" w:type="dxa"/>
            <w:right w:w="15" w:type="dxa"/>
          </w:tblCellMar>
        </w:tblPrEx>
        <w:trPr>
          <w:trHeight w:val="613"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1.地区生产总值</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+6%以上</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1550亿元</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（+10%以上）</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+6%左右</w:t>
            </w:r>
          </w:p>
        </w:tc>
      </w:tr>
      <w:tr>
        <w:tblPrEx>
          <w:tblCellMar>
            <w:top w:w="15" w:type="dxa"/>
            <w:left w:w="15" w:type="dxa"/>
            <w:bottom w:w="15" w:type="dxa"/>
            <w:right w:w="15" w:type="dxa"/>
          </w:tblCellMar>
        </w:tblPrEx>
        <w:trPr>
          <w:trHeight w:val="687"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2.</w:t>
            </w:r>
            <w:r>
              <w:rPr>
                <w:rStyle w:val="16"/>
                <w:rFonts w:hint="default" w:ascii="Times New Roman" w:hAnsi="Times New Roman" w:cs="Times New Roman"/>
                <w:color w:val="000000" w:themeColor="text1"/>
                <w14:textFill>
                  <w14:solidFill>
                    <w14:schemeClr w14:val="tx1"/>
                  </w14:solidFill>
                </w14:textFill>
              </w:rPr>
              <w:t>一般公共预算收入</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+6%左右</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190亿元</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（+11%）</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5.5</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r>
              <w:rPr>
                <w:rFonts w:hint="default" w:ascii="Times New Roman" w:hAnsi="Times New Roman" w:eastAsia="仿宋_GB2312" w:cs="Times New Roman"/>
                <w:color w:val="000000" w:themeColor="text1"/>
                <w:kern w:val="0"/>
                <w:sz w:val="22"/>
                <w:szCs w:val="22"/>
                <w:lang w:val="en-US" w:eastAsia="zh-CN" w:bidi="ar"/>
                <w14:textFill>
                  <w14:solidFill>
                    <w14:schemeClr w14:val="tx1"/>
                  </w14:solidFill>
                </w14:textFill>
              </w:rPr>
              <w:t>以上</w:t>
            </w:r>
          </w:p>
        </w:tc>
      </w:tr>
      <w:tr>
        <w:tblPrEx>
          <w:tblCellMar>
            <w:top w:w="15" w:type="dxa"/>
            <w:left w:w="15" w:type="dxa"/>
            <w:bottom w:w="15" w:type="dxa"/>
            <w:right w:w="15" w:type="dxa"/>
          </w:tblCellMar>
        </w:tblPrEx>
        <w:trPr>
          <w:trHeight w:val="611"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3.全社会固定资产投资</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+15%以上</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500亿元</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（+6.7%）</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+8%</w:t>
            </w:r>
            <w:r>
              <w:rPr>
                <w:rStyle w:val="17"/>
                <w:rFonts w:hint="default" w:ascii="Times New Roman" w:hAnsi="Times New Roman" w:eastAsia="仿宋_GB2312" w:cs="Times New Roman"/>
                <w:color w:val="000000" w:themeColor="text1"/>
                <w:lang w:bidi="ar"/>
                <w14:textFill>
                  <w14:solidFill>
                    <w14:schemeClr w14:val="tx1"/>
                  </w14:solidFill>
                </w14:textFill>
              </w:rPr>
              <w:t>左右</w:t>
            </w:r>
          </w:p>
        </w:tc>
      </w:tr>
      <w:tr>
        <w:tblPrEx>
          <w:tblCellMar>
            <w:top w:w="15" w:type="dxa"/>
            <w:left w:w="15" w:type="dxa"/>
            <w:bottom w:w="15" w:type="dxa"/>
            <w:right w:w="15" w:type="dxa"/>
          </w:tblCellMar>
        </w:tblPrEx>
        <w:trPr>
          <w:trHeight w:val="635"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4.</w:t>
            </w:r>
            <w:r>
              <w:rPr>
                <w:rStyle w:val="16"/>
                <w:rFonts w:hint="default" w:ascii="Times New Roman" w:hAnsi="Times New Roman" w:cs="Times New Roman"/>
                <w:color w:val="000000" w:themeColor="text1"/>
                <w14:textFill>
                  <w14:solidFill>
                    <w14:schemeClr w14:val="tx1"/>
                  </w14:solidFill>
                </w14:textFill>
              </w:rPr>
              <w:t>新兴产业产值占规模以上工业产值比重</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+1个百分点</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59.2%</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（+1个百分点）</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保持稳定</w:t>
            </w:r>
          </w:p>
        </w:tc>
      </w:tr>
      <w:tr>
        <w:tblPrEx>
          <w:tblCellMar>
            <w:top w:w="15" w:type="dxa"/>
            <w:left w:w="15" w:type="dxa"/>
            <w:bottom w:w="15" w:type="dxa"/>
            <w:right w:w="15" w:type="dxa"/>
          </w:tblCellMar>
        </w:tblPrEx>
        <w:trPr>
          <w:trHeight w:val="700"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5.</w:t>
            </w:r>
            <w:r>
              <w:rPr>
                <w:rStyle w:val="16"/>
                <w:rFonts w:hint="default" w:ascii="Times New Roman" w:hAnsi="Times New Roman" w:cs="Times New Roman"/>
                <w:color w:val="000000" w:themeColor="text1"/>
                <w14:textFill>
                  <w14:solidFill>
                    <w14:schemeClr w14:val="tx1"/>
                  </w14:solidFill>
                </w14:textFill>
              </w:rPr>
              <w:t>高新技术产业产值占规模以上工业产值比重</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+1个百分点</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50.3%</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（+1个百分点）</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+1个百分点</w:t>
            </w:r>
          </w:p>
        </w:tc>
      </w:tr>
      <w:tr>
        <w:tblPrEx>
          <w:tblCellMar>
            <w:top w:w="15" w:type="dxa"/>
            <w:left w:w="15" w:type="dxa"/>
            <w:bottom w:w="15" w:type="dxa"/>
            <w:right w:w="15" w:type="dxa"/>
          </w:tblCellMar>
        </w:tblPrEx>
        <w:trPr>
          <w:trHeight w:val="643"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6.全社会研发</w:t>
            </w:r>
            <w:r>
              <w:rPr>
                <w:rStyle w:val="15"/>
                <w:rFonts w:hint="default" w:ascii="Times New Roman" w:hAnsi="Times New Roman" w:cs="Times New Roman"/>
                <w:color w:val="000000" w:themeColor="text1"/>
                <w14:textFill>
                  <w14:solidFill>
                    <w14:schemeClr w14:val="tx1"/>
                  </w14:solidFill>
                </w14:textFill>
              </w:rPr>
              <w:t>经费支出占</w:t>
            </w:r>
            <w:r>
              <w:rPr>
                <w:rStyle w:val="16"/>
                <w:rFonts w:hint="default" w:ascii="Times New Roman" w:hAnsi="Times New Roman" w:cs="Times New Roman"/>
                <w:color w:val="000000" w:themeColor="text1"/>
                <w14:textFill>
                  <w14:solidFill>
                    <w14:schemeClr w14:val="tx1"/>
                  </w14:solidFill>
                </w14:textFill>
              </w:rPr>
              <w:t>地区生产总值</w:t>
            </w:r>
            <w:r>
              <w:rPr>
                <w:rStyle w:val="15"/>
                <w:rFonts w:hint="default" w:ascii="Times New Roman" w:hAnsi="Times New Roman" w:cs="Times New Roman"/>
                <w:color w:val="000000" w:themeColor="text1"/>
                <w14:textFill>
                  <w14:solidFill>
                    <w14:schemeClr w14:val="tx1"/>
                  </w14:solidFill>
                </w14:textFill>
              </w:rPr>
              <w:t>比重</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3.6%</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3.6%</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（+0.12个百分点）</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3.75%</w:t>
            </w:r>
          </w:p>
        </w:tc>
      </w:tr>
      <w:tr>
        <w:tblPrEx>
          <w:tblCellMar>
            <w:top w:w="15" w:type="dxa"/>
            <w:left w:w="15" w:type="dxa"/>
            <w:bottom w:w="15" w:type="dxa"/>
            <w:right w:w="15" w:type="dxa"/>
          </w:tblCellMar>
        </w:tblPrEx>
        <w:trPr>
          <w:trHeight w:val="645"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7.</w:t>
            </w:r>
            <w:r>
              <w:rPr>
                <w:rStyle w:val="15"/>
                <w:rFonts w:hint="default" w:ascii="Times New Roman" w:hAnsi="Times New Roman" w:cs="Times New Roman"/>
                <w:color w:val="000000" w:themeColor="text1"/>
                <w14:textFill>
                  <w14:solidFill>
                    <w14:schemeClr w14:val="tx1"/>
                  </w14:solidFill>
                </w14:textFill>
              </w:rPr>
              <w:t>社会消费品零售总额</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+8%左右</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510亿元</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（+20%）</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+8%</w:t>
            </w:r>
            <w:r>
              <w:rPr>
                <w:rStyle w:val="17"/>
                <w:rFonts w:hint="default" w:ascii="Times New Roman" w:hAnsi="Times New Roman" w:eastAsia="仿宋_GB2312" w:cs="Times New Roman"/>
                <w:color w:val="000000" w:themeColor="text1"/>
                <w:lang w:bidi="ar"/>
                <w14:textFill>
                  <w14:solidFill>
                    <w14:schemeClr w14:val="tx1"/>
                  </w14:solidFill>
                </w14:textFill>
              </w:rPr>
              <w:t>左右</w:t>
            </w:r>
          </w:p>
        </w:tc>
      </w:tr>
      <w:tr>
        <w:tblPrEx>
          <w:tblCellMar>
            <w:top w:w="15" w:type="dxa"/>
            <w:left w:w="15" w:type="dxa"/>
            <w:bottom w:w="15" w:type="dxa"/>
            <w:right w:w="15" w:type="dxa"/>
          </w:tblCellMar>
        </w:tblPrEx>
        <w:trPr>
          <w:trHeight w:val="670"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8.</w:t>
            </w:r>
            <w:r>
              <w:rPr>
                <w:rStyle w:val="15"/>
                <w:rFonts w:hint="default" w:ascii="Times New Roman" w:hAnsi="Times New Roman" w:cs="Times New Roman"/>
                <w:color w:val="000000" w:themeColor="text1"/>
                <w14:textFill>
                  <w14:solidFill>
                    <w14:schemeClr w14:val="tx1"/>
                  </w14:solidFill>
                </w14:textFill>
              </w:rPr>
              <w:t>进出口总额</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保持稳定</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170亿美元</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（+27.5%）</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总体稳定</w:t>
            </w:r>
          </w:p>
        </w:tc>
      </w:tr>
      <w:tr>
        <w:tblPrEx>
          <w:tblCellMar>
            <w:top w:w="15" w:type="dxa"/>
            <w:left w:w="15" w:type="dxa"/>
            <w:bottom w:w="15" w:type="dxa"/>
            <w:right w:w="15" w:type="dxa"/>
          </w:tblCellMar>
        </w:tblPrEx>
        <w:trPr>
          <w:trHeight w:val="651"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9.</w:t>
            </w:r>
            <w:r>
              <w:rPr>
                <w:rStyle w:val="15"/>
                <w:rFonts w:hint="default" w:ascii="Times New Roman" w:hAnsi="Times New Roman" w:cs="Times New Roman"/>
                <w:color w:val="000000" w:themeColor="text1"/>
                <w14:textFill>
                  <w14:solidFill>
                    <w14:schemeClr w14:val="tx1"/>
                  </w14:solidFill>
                </w14:textFill>
              </w:rPr>
              <w:t>居民人均可支配收入</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增速高于地区</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生产总值增速</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增速高于地区</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生产总值增速</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与地区生产总值</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增长同步</w:t>
            </w:r>
          </w:p>
        </w:tc>
      </w:tr>
      <w:tr>
        <w:tblPrEx>
          <w:tblCellMar>
            <w:top w:w="15" w:type="dxa"/>
            <w:left w:w="15" w:type="dxa"/>
            <w:bottom w:w="15" w:type="dxa"/>
            <w:right w:w="15" w:type="dxa"/>
          </w:tblCellMar>
        </w:tblPrEx>
        <w:trPr>
          <w:trHeight w:val="586"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10.</w:t>
            </w:r>
            <w:r>
              <w:rPr>
                <w:rStyle w:val="15"/>
                <w:rFonts w:hint="default" w:ascii="Times New Roman" w:hAnsi="Times New Roman" w:cs="Times New Roman"/>
                <w:color w:val="000000" w:themeColor="text1"/>
                <w14:textFill>
                  <w14:solidFill>
                    <w14:schemeClr w14:val="tx1"/>
                  </w14:solidFill>
                </w14:textFill>
              </w:rPr>
              <w:t>城镇登记失业率</w:t>
            </w:r>
            <w:bookmarkStart w:id="0" w:name="_GoBack"/>
            <w:bookmarkEnd w:id="0"/>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控制在2.5%</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以内</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1.8%</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控制在2.5%以内</w:t>
            </w:r>
          </w:p>
        </w:tc>
      </w:tr>
      <w:tr>
        <w:tblPrEx>
          <w:tblCellMar>
            <w:top w:w="15" w:type="dxa"/>
            <w:left w:w="15" w:type="dxa"/>
            <w:bottom w:w="15" w:type="dxa"/>
            <w:right w:w="15" w:type="dxa"/>
          </w:tblCellMar>
        </w:tblPrEx>
        <w:trPr>
          <w:trHeight w:val="737" w:hRule="exac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spacing w:line="240" w:lineRule="exact"/>
              <w:ind w:left="-99" w:leftChars="-47" w:right="73" w:rightChars="35"/>
              <w:jc w:val="left"/>
              <w:rPr>
                <w:rFonts w:hint="default" w:ascii="Times New Roman" w:hAnsi="Times New Roman" w:eastAsia="仿宋_GB2312" w:cs="Times New Roman"/>
                <w:color w:val="000000" w:themeColor="text1"/>
                <w:szCs w:val="21"/>
                <w14:textFill>
                  <w14:solidFill>
                    <w14:schemeClr w14:val="tx1"/>
                  </w14:solidFill>
                </w14:textFill>
              </w:rPr>
            </w:pPr>
            <w:r>
              <w:rPr>
                <w:rStyle w:val="15"/>
                <w:rFonts w:hint="default" w:ascii="Times New Roman" w:hAnsi="Times New Roman" w:cs="Times New Roman"/>
                <w:color w:val="000000" w:themeColor="text1"/>
                <w14:textFill>
                  <w14:solidFill>
                    <w14:schemeClr w14:val="tx1"/>
                  </w14:solidFill>
                </w14:textFill>
              </w:rPr>
              <w:t>111.</w:t>
            </w:r>
            <w:r>
              <w:rPr>
                <w:rFonts w:hint="default" w:ascii="Times New Roman" w:hAnsi="Times New Roman" w:eastAsia="仿宋_GB2312" w:cs="Times New Roman"/>
                <w:color w:val="000000" w:themeColor="text1"/>
                <w:szCs w:val="21"/>
                <w14:textFill>
                  <w14:solidFill>
                    <w14:schemeClr w14:val="tx1"/>
                  </w14:solidFill>
                </w14:textFill>
              </w:rPr>
              <w:t>PM</w:t>
            </w:r>
            <w:r>
              <w:rPr>
                <w:rFonts w:hint="default" w:ascii="Times New Roman" w:hAnsi="Times New Roman" w:eastAsia="仿宋_GB2312" w:cs="Times New Roman"/>
                <w:color w:val="000000" w:themeColor="text1"/>
                <w:szCs w:val="21"/>
                <w:vertAlign w:val="subscript"/>
                <w14:textFill>
                  <w14:solidFill>
                    <w14:schemeClr w14:val="tx1"/>
                  </w14:solidFill>
                </w14:textFill>
              </w:rPr>
              <w:t>2.5</w:t>
            </w:r>
            <w:r>
              <w:rPr>
                <w:rStyle w:val="15"/>
                <w:rFonts w:hint="default" w:ascii="Times New Roman" w:hAnsi="Times New Roman" w:cs="Times New Roman"/>
                <w:color w:val="000000" w:themeColor="text1"/>
                <w14:textFill>
                  <w14:solidFill>
                    <w14:schemeClr w14:val="tx1"/>
                  </w14:solidFill>
                </w14:textFill>
              </w:rPr>
              <w:t>年均浓度</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kern w:val="0"/>
                <w:sz w:val="22"/>
                <w:szCs w:val="22"/>
                <w:lang w:val="en-US" w:eastAsia="zh-CN" w:bidi="ar"/>
                <w14:textFill>
                  <w14:solidFill>
                    <w14:schemeClr w14:val="tx1"/>
                  </w14:solidFill>
                </w14:textFill>
              </w:rPr>
              <w:t>超额完成苏州下达任务（</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25微克/立方米）</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r>
      <w:tr>
        <w:tblPrEx>
          <w:tblCellMar>
            <w:top w:w="15" w:type="dxa"/>
            <w:left w:w="15" w:type="dxa"/>
            <w:bottom w:w="15" w:type="dxa"/>
            <w:right w:w="15" w:type="dxa"/>
          </w:tblCellMar>
        </w:tblPrEx>
        <w:trPr>
          <w:trHeight w:val="508"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Style w:val="16"/>
                <w:rFonts w:hint="default" w:ascii="Times New Roman" w:hAnsi="Times New Roman" w:cs="Times New Roman"/>
                <w:b/>
                <w:color w:val="000000" w:themeColor="text1"/>
                <w:szCs w:val="24"/>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12.水域功能区达标率</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p>
        </w:tc>
      </w:tr>
      <w:tr>
        <w:tblPrEx>
          <w:tblCellMar>
            <w:top w:w="15" w:type="dxa"/>
            <w:left w:w="15" w:type="dxa"/>
            <w:bottom w:w="15" w:type="dxa"/>
            <w:right w:w="15" w:type="dxa"/>
          </w:tblCellMar>
        </w:tblPrEx>
        <w:trPr>
          <w:trHeight w:val="495"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Style w:val="16"/>
                <w:rFonts w:hint="default" w:ascii="Times New Roman" w:hAnsi="Times New Roman" w:cs="Times New Roman"/>
                <w:color w:val="000000" w:themeColor="text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13.地表水达到或好于Ⅲ类水体比例</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100%</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100%</w:t>
            </w:r>
          </w:p>
        </w:tc>
      </w:tr>
      <w:tr>
        <w:tblPrEx>
          <w:tblCellMar>
            <w:top w:w="15" w:type="dxa"/>
            <w:left w:w="15" w:type="dxa"/>
            <w:bottom w:w="15" w:type="dxa"/>
            <w:right w:w="15" w:type="dxa"/>
          </w:tblCellMar>
        </w:tblPrEx>
        <w:trPr>
          <w:trHeight w:val="360"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Style w:val="16"/>
                <w:rFonts w:hint="default" w:ascii="Times New Roman" w:hAnsi="Times New Roman" w:cs="Times New Roman"/>
                <w:color w:val="000000" w:themeColor="text1"/>
                <w14:textFill>
                  <w14:solidFill>
                    <w14:schemeClr w14:val="tx1"/>
                  </w14:solidFill>
                </w14:textFill>
              </w:rPr>
            </w:pPr>
            <w:r>
              <w:rPr>
                <w:rStyle w:val="16"/>
                <w:rFonts w:hint="default" w:ascii="Times New Roman" w:hAnsi="Times New Roman" w:cs="Times New Roman"/>
                <w:color w:val="000000" w:themeColor="text1"/>
                <w14:textFill>
                  <w14:solidFill>
                    <w14:schemeClr w14:val="tx1"/>
                  </w14:solidFill>
                </w14:textFill>
              </w:rPr>
              <w:t>14.</w:t>
            </w:r>
            <w:r>
              <w:rPr>
                <w:rStyle w:val="15"/>
                <w:rFonts w:hint="default" w:ascii="Times New Roman" w:hAnsi="Times New Roman" w:cs="Times New Roman"/>
                <w:color w:val="000000" w:themeColor="text1"/>
                <w14:textFill>
                  <w14:solidFill>
                    <w14:schemeClr w14:val="tx1"/>
                  </w14:solidFill>
                </w14:textFill>
              </w:rPr>
              <w:t>单位地区生产总值能耗下降率</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kern w:val="0"/>
                <w:sz w:val="22"/>
                <w:szCs w:val="22"/>
                <w:lang w:bidi="ar"/>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完成苏州</w:t>
            </w:r>
          </w:p>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下达任务</w:t>
            </w:r>
          </w:p>
        </w:tc>
      </w:tr>
      <w:tr>
        <w:tblPrEx>
          <w:tblCellMar>
            <w:top w:w="15" w:type="dxa"/>
            <w:left w:w="15" w:type="dxa"/>
            <w:bottom w:w="15" w:type="dxa"/>
            <w:right w:w="15" w:type="dxa"/>
          </w:tblCellMar>
        </w:tblPrEx>
        <w:trPr>
          <w:trHeight w:val="695"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Style w:val="15"/>
                <w:rFonts w:hint="default" w:ascii="Times New Roman" w:hAnsi="Times New Roman" w:cs="Times New Roman"/>
                <w:color w:val="000000" w:themeColor="text1"/>
                <w14:textFill>
                  <w14:solidFill>
                    <w14:schemeClr w14:val="tx1"/>
                  </w14:solidFill>
                </w14:textFill>
              </w:rPr>
              <w:t>15.生产安全事故起数和死亡人数</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持续双下降</w:t>
            </w:r>
          </w:p>
        </w:tc>
        <w:tc>
          <w:tcPr>
            <w:tcW w:w="2070" w:type="dxa"/>
            <w:tcBorders>
              <w:top w:val="single" w:color="000000" w:sz="6" w:space="0"/>
              <w:left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2"/>
                <w:szCs w:val="22"/>
                <w:lang w:val="en-US" w:eastAsia="zh-CN" w:bidi="ar"/>
                <w14:textFill>
                  <w14:solidFill>
                    <w14:schemeClr w14:val="tx1"/>
                  </w14:solidFill>
                </w14:textFill>
              </w:rPr>
              <w:t>分别下降52%、66.7%</w:t>
            </w:r>
          </w:p>
        </w:tc>
        <w:tc>
          <w:tcPr>
            <w:tcW w:w="1628" w:type="dxa"/>
            <w:tcBorders>
              <w:top w:val="single" w:color="000000" w:sz="6" w:space="0"/>
              <w:left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p>
        </w:tc>
      </w:tr>
      <w:tr>
        <w:tblPrEx>
          <w:tblCellMar>
            <w:top w:w="15" w:type="dxa"/>
            <w:left w:w="15" w:type="dxa"/>
            <w:bottom w:w="15" w:type="dxa"/>
            <w:right w:w="15" w:type="dxa"/>
          </w:tblCellMar>
        </w:tblPrEx>
        <w:trPr>
          <w:trHeight w:val="519" w:hRule="atLeast"/>
          <w:jc w:val="center"/>
        </w:trPr>
        <w:tc>
          <w:tcPr>
            <w:tcW w:w="4270" w:type="dxa"/>
            <w:tcBorders>
              <w:top w:val="single" w:color="000000" w:sz="6" w:space="0"/>
              <w:left w:val="single" w:color="000000" w:sz="6" w:space="0"/>
              <w:bottom w:val="single" w:color="000000" w:sz="6" w:space="0"/>
              <w:right w:val="single" w:color="000000" w:sz="6" w:space="0"/>
            </w:tcBorders>
            <w:vAlign w:val="center"/>
          </w:tcPr>
          <w:p>
            <w:pPr>
              <w:tabs>
                <w:tab w:val="left" w:pos="1004"/>
              </w:tabs>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14:textFill>
                  <w14:solidFill>
                    <w14:schemeClr w14:val="tx1"/>
                  </w14:solidFill>
                </w14:textFill>
              </w:rPr>
              <w:t>16.单位地区生产总值生产安全事故死亡率</w:t>
            </w:r>
          </w:p>
        </w:tc>
        <w:tc>
          <w:tcPr>
            <w:tcW w:w="154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w:t>
            </w:r>
          </w:p>
        </w:tc>
        <w:tc>
          <w:tcPr>
            <w:tcW w:w="2070"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0.00</w:t>
            </w:r>
            <w:r>
              <w:rPr>
                <w:rFonts w:hint="eastAsia" w:ascii="Times New Roman" w:hAnsi="Times New Roman" w:eastAsia="仿宋_GB2312" w:cs="Times New Roman"/>
                <w:color w:val="000000" w:themeColor="text1"/>
                <w:kern w:val="0"/>
                <w:sz w:val="22"/>
                <w:szCs w:val="22"/>
                <w:lang w:val="en-US" w:eastAsia="zh-CN" w:bidi="ar"/>
                <w14:textFill>
                  <w14:solidFill>
                    <w14:schemeClr w14:val="tx1"/>
                  </w14:solidFill>
                </w14:textFill>
              </w:rPr>
              <w:t>26</w:t>
            </w: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人/亿元</w:t>
            </w:r>
          </w:p>
        </w:tc>
        <w:tc>
          <w:tcPr>
            <w:tcW w:w="1628"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 w:val="22"/>
                <w:szCs w:val="22"/>
                <w:lang w:bidi="ar"/>
                <w14:textFill>
                  <w14:solidFill>
                    <w14:schemeClr w14:val="tx1"/>
                  </w14:solidFill>
                </w14:textFill>
              </w:rPr>
              <w:t>持续下降</w:t>
            </w:r>
          </w:p>
        </w:tc>
      </w:tr>
    </w:tbl>
    <w:p>
      <w:pPr>
        <w:rPr>
          <w:rFonts w:hint="default" w:ascii="Times New Roman" w:hAnsi="Times New Roman" w:cs="Times New Roman"/>
          <w:color w:val="000000" w:themeColor="text1"/>
          <w14:textFill>
            <w14:solidFill>
              <w14:schemeClr w14:val="tx1"/>
            </w14:solidFill>
          </w14:textFill>
        </w:rPr>
      </w:pPr>
    </w:p>
    <w:p>
      <w:pPr>
        <w:autoSpaceDE w:val="0"/>
        <w:autoSpaceDN w:val="0"/>
        <w:snapToGrid w:val="0"/>
        <w:spacing w:line="560" w:lineRule="exact"/>
        <w:rPr>
          <w:rFonts w:hint="default" w:ascii="Times New Roman" w:hAnsi="Times New Roman" w:eastAsia="黑体" w:cs="Times New Roman"/>
          <w:color w:val="000000" w:themeColor="text1"/>
          <w:sz w:val="28"/>
          <w:szCs w:val="28"/>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附件2</w:t>
      </w:r>
    </w:p>
    <w:p>
      <w:pPr>
        <w:autoSpaceDE w:val="0"/>
        <w:autoSpaceDN w:val="0"/>
        <w:snapToGrid w:val="0"/>
        <w:spacing w:line="56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p>
    <w:p>
      <w:pPr>
        <w:autoSpaceDE w:val="0"/>
        <w:autoSpaceDN w:val="0"/>
        <w:snapToGrid w:val="0"/>
        <w:spacing w:line="56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r>
        <w:rPr>
          <w:rFonts w:hint="default" w:ascii="Times New Roman" w:hAnsi="Times New Roman" w:eastAsia="宋体" w:cs="Times New Roman"/>
          <w:b/>
          <w:color w:val="000000" w:themeColor="text1"/>
          <w:sz w:val="36"/>
          <w:szCs w:val="36"/>
          <w14:textFill>
            <w14:solidFill>
              <w14:schemeClr w14:val="tx1"/>
            </w14:solidFill>
          </w14:textFill>
        </w:rPr>
        <w:t>太仓市2022年国有土地上房屋征收旧城区改建项目</w:t>
      </w:r>
    </w:p>
    <w:p>
      <w:pPr>
        <w:autoSpaceDE w:val="0"/>
        <w:autoSpaceDN w:val="0"/>
        <w:snapToGrid w:val="0"/>
        <w:spacing w:line="560" w:lineRule="exact"/>
        <w:jc w:val="center"/>
        <w:rPr>
          <w:rFonts w:hint="default" w:ascii="Times New Roman" w:hAnsi="Times New Roman" w:eastAsia="仿宋_GB2312" w:cs="Times New Roman"/>
          <w:b/>
          <w:color w:val="000000" w:themeColor="text1"/>
          <w:sz w:val="28"/>
          <w:szCs w:val="28"/>
          <w14:textFill>
            <w14:solidFill>
              <w14:schemeClr w14:val="tx1"/>
            </w14:solidFill>
          </w14:textFill>
        </w:rPr>
      </w:pPr>
    </w:p>
    <w:tbl>
      <w:tblPr>
        <w:tblStyle w:val="9"/>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084"/>
        <w:gridCol w:w="1950"/>
        <w:gridCol w:w="1336"/>
        <w:gridCol w:w="1635"/>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序号</w:t>
            </w:r>
          </w:p>
        </w:tc>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建设项目主体</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建设项目名称</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所属区镇</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征收面积          (万平方米)</w:t>
            </w:r>
          </w:p>
        </w:tc>
        <w:tc>
          <w:tcPr>
            <w:tcW w:w="203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sz w:val="24"/>
                <w14:textFill>
                  <w14:solidFill>
                    <w14:schemeClr w14:val="tx1"/>
                  </w14:solidFill>
                </w14:textFill>
              </w:rPr>
              <w:t>项目性质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560" w:lineRule="exact"/>
              <w:jc w:val="center"/>
              <w:textAlignment w:val="center"/>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1</w:t>
            </w:r>
          </w:p>
        </w:tc>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太仓市金仓建设投资有限公司</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古松弄地块</w:t>
            </w:r>
          </w:p>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旧改项目</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城厢镇</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5.82</w:t>
            </w:r>
          </w:p>
        </w:tc>
        <w:tc>
          <w:tcPr>
            <w:tcW w:w="2039"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城市更新项目</w:t>
            </w:r>
          </w:p>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（旧城区改建</w:t>
            </w:r>
          </w:p>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560" w:lineRule="exact"/>
              <w:jc w:val="center"/>
              <w:textAlignment w:val="center"/>
              <w:rPr>
                <w:rFonts w:hint="default" w:ascii="Times New Roman" w:hAnsi="Times New Roman" w:eastAsia="仿宋_GB2312" w:cs="Times New Roman"/>
                <w:b/>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2</w:t>
            </w:r>
          </w:p>
        </w:tc>
        <w:tc>
          <w:tcPr>
            <w:tcW w:w="20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太仓市金仓建设投资有限公司</w:t>
            </w:r>
          </w:p>
        </w:tc>
        <w:tc>
          <w:tcPr>
            <w:tcW w:w="195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原城三小地块</w:t>
            </w:r>
          </w:p>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旧改项目</w:t>
            </w:r>
          </w:p>
        </w:tc>
        <w:tc>
          <w:tcPr>
            <w:tcW w:w="13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城厢镇</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5.19</w:t>
            </w:r>
          </w:p>
        </w:tc>
        <w:tc>
          <w:tcPr>
            <w:tcW w:w="2039"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城市更新项目</w:t>
            </w:r>
          </w:p>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（旧城区改建</w:t>
            </w:r>
          </w:p>
          <w:p>
            <w:pPr>
              <w:widowControl/>
              <w:spacing w:line="56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2805"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24"/>
                <w:lang w:bidi="ar"/>
                <w14:textFill>
                  <w14:solidFill>
                    <w14:schemeClr w14:val="tx1"/>
                  </w14:solidFill>
                </w14:textFill>
              </w:rPr>
              <w:t>总计</w:t>
            </w:r>
          </w:p>
        </w:tc>
        <w:tc>
          <w:tcPr>
            <w:tcW w:w="3286"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000000" w:themeColor="text1"/>
                <w:kern w:val="0"/>
                <w:sz w:val="24"/>
                <w:lang w:bidi="ar"/>
                <w14:textFill>
                  <w14:solidFill>
                    <w14:schemeClr w14:val="tx1"/>
                  </w14:solidFill>
                </w14:textFill>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textAlignment w:val="center"/>
              <w:rPr>
                <w:rFonts w:hint="default" w:ascii="Times New Roman" w:hAnsi="Times New Roman" w:eastAsia="仿宋_GB2312" w:cs="Times New Roman"/>
                <w:b/>
                <w:bCs/>
                <w:snapToGrid w:val="0"/>
                <w:color w:val="000000" w:themeColor="text1"/>
                <w:kern w:val="0"/>
                <w:sz w:val="24"/>
                <w:lang w:bidi="ar"/>
                <w14:textFill>
                  <w14:solidFill>
                    <w14:schemeClr w14:val="tx1"/>
                  </w14:solidFill>
                </w14:textFill>
              </w:rPr>
            </w:pPr>
            <w:r>
              <w:rPr>
                <w:rFonts w:hint="default" w:ascii="Times New Roman" w:hAnsi="Times New Roman" w:eastAsia="仿宋_GB2312" w:cs="Times New Roman"/>
                <w:b/>
                <w:bCs/>
                <w:snapToGrid w:val="0"/>
                <w:color w:val="000000" w:themeColor="text1"/>
                <w:kern w:val="0"/>
                <w:sz w:val="24"/>
                <w:lang w:bidi="ar"/>
                <w14:textFill>
                  <w14:solidFill>
                    <w14:schemeClr w14:val="tx1"/>
                  </w14:solidFill>
                </w14:textFill>
              </w:rPr>
              <w:t>11.01</w:t>
            </w:r>
          </w:p>
        </w:tc>
        <w:tc>
          <w:tcPr>
            <w:tcW w:w="2039"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textAlignment w:val="center"/>
              <w:rPr>
                <w:rFonts w:hint="default" w:ascii="Times New Roman" w:hAnsi="Times New Roman" w:eastAsia="仿宋_GB2312" w:cs="Times New Roman"/>
                <w:snapToGrid w:val="0"/>
                <w:color w:val="000000" w:themeColor="text1"/>
                <w:kern w:val="0"/>
                <w:sz w:val="24"/>
                <w:lang w:bidi="ar"/>
                <w14:textFill>
                  <w14:solidFill>
                    <w14:schemeClr w14:val="tx1"/>
                  </w14:solidFill>
                </w14:textFill>
              </w:rPr>
            </w:pPr>
          </w:p>
        </w:tc>
      </w:tr>
    </w:tbl>
    <w:p>
      <w:pPr>
        <w:spacing w:line="560" w:lineRule="exact"/>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p>
      <w:pPr>
        <w:autoSpaceDE w:val="0"/>
        <w:autoSpaceDN w:val="0"/>
        <w:snapToGrid w:val="0"/>
        <w:spacing w:line="560" w:lineRule="exact"/>
        <w:rPr>
          <w:rFonts w:hint="default" w:ascii="Times New Roman" w:hAnsi="Times New Roman" w:cs="Times New Roman" w:eastAsiaTheme="majorEastAsia"/>
          <w:b/>
          <w:bCs/>
          <w:color w:val="000000" w:themeColor="text1"/>
          <w:kern w:val="0"/>
          <w:sz w:val="36"/>
          <w:szCs w:val="36"/>
          <w:lang w:bidi="ar"/>
          <w14:textFill>
            <w14:solidFill>
              <w14:schemeClr w14:val="tx1"/>
            </w14:solidFill>
          </w14:textFill>
        </w:rPr>
      </w:pPr>
      <w:r>
        <w:rPr>
          <w:rFonts w:hint="default" w:ascii="Times New Roman" w:hAnsi="Times New Roman" w:eastAsia="黑体" w:cs="Times New Roman"/>
          <w:color w:val="000000" w:themeColor="text1"/>
          <w:sz w:val="28"/>
          <w:szCs w:val="28"/>
          <w14:textFill>
            <w14:solidFill>
              <w14:schemeClr w14:val="tx1"/>
            </w14:solidFill>
          </w14:textFill>
        </w:rPr>
        <w:t>附件3</w:t>
      </w:r>
    </w:p>
    <w:tbl>
      <w:tblPr>
        <w:tblStyle w:val="9"/>
        <w:tblW w:w="9737" w:type="dxa"/>
        <w:tblInd w:w="-380" w:type="dxa"/>
        <w:tblLayout w:type="fixed"/>
        <w:tblCellMar>
          <w:top w:w="0" w:type="dxa"/>
          <w:left w:w="108" w:type="dxa"/>
          <w:bottom w:w="0" w:type="dxa"/>
          <w:right w:w="108" w:type="dxa"/>
        </w:tblCellMar>
      </w:tblPr>
      <w:tblGrid>
        <w:gridCol w:w="467"/>
        <w:gridCol w:w="3585"/>
        <w:gridCol w:w="2955"/>
        <w:gridCol w:w="645"/>
        <w:gridCol w:w="2085"/>
      </w:tblGrid>
      <w:tr>
        <w:tblPrEx>
          <w:tblCellMar>
            <w:top w:w="0" w:type="dxa"/>
            <w:left w:w="108" w:type="dxa"/>
            <w:bottom w:w="0" w:type="dxa"/>
            <w:right w:w="108" w:type="dxa"/>
          </w:tblCellMar>
        </w:tblPrEx>
        <w:trPr>
          <w:trHeight w:val="1101" w:hRule="atLeast"/>
        </w:trPr>
        <w:tc>
          <w:tcPr>
            <w:tcW w:w="9737" w:type="dxa"/>
            <w:gridSpan w:val="5"/>
            <w:tcBorders>
              <w:top w:val="nil"/>
              <w:left w:val="nil"/>
              <w:bottom w:val="nil"/>
              <w:right w:val="nil"/>
            </w:tcBorders>
            <w:shd w:val="clear" w:color="auto" w:fill="auto"/>
            <w:vAlign w:val="center"/>
          </w:tcPr>
          <w:p>
            <w:pPr>
              <w:widowControl/>
              <w:jc w:val="center"/>
              <w:textAlignment w:val="center"/>
              <w:rPr>
                <w:rFonts w:hint="default" w:ascii="Times New Roman" w:hAnsi="Times New Roman" w:eastAsia="方正小标宋_GBK" w:cs="Times New Roman"/>
                <w:color w:val="000000" w:themeColor="text1"/>
                <w:sz w:val="40"/>
                <w:szCs w:val="40"/>
                <w14:textFill>
                  <w14:solidFill>
                    <w14:schemeClr w14:val="tx1"/>
                  </w14:solidFill>
                </w14:textFill>
              </w:rPr>
            </w:pPr>
            <w:r>
              <w:rPr>
                <w:rFonts w:hint="default" w:ascii="Times New Roman" w:hAnsi="Times New Roman" w:cs="Times New Roman" w:eastAsiaTheme="majorEastAsia"/>
                <w:b/>
                <w:bCs/>
                <w:color w:val="000000" w:themeColor="text1"/>
                <w:kern w:val="0"/>
                <w:sz w:val="36"/>
                <w:szCs w:val="36"/>
                <w:lang w:bidi="ar"/>
                <w14:textFill>
                  <w14:solidFill>
                    <w14:schemeClr w14:val="tx1"/>
                  </w14:solidFill>
                </w14:textFill>
              </w:rPr>
              <w:t>太仓市2022年土地征收成片开发方案</w:t>
            </w:r>
          </w:p>
        </w:tc>
      </w:tr>
      <w:tr>
        <w:tblPrEx>
          <w:tblCellMar>
            <w:top w:w="0" w:type="dxa"/>
            <w:left w:w="108" w:type="dxa"/>
            <w:bottom w:w="0" w:type="dxa"/>
            <w:right w:w="108" w:type="dxa"/>
          </w:tblCellMar>
        </w:tblPrEx>
        <w:trPr>
          <w:trHeight w:val="534" w:hRule="atLeast"/>
        </w:trPr>
        <w:tc>
          <w:tcPr>
            <w:tcW w:w="467"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000000" w:themeColor="text1"/>
                <w:sz w:val="32"/>
                <w:szCs w:val="32"/>
                <w14:textFill>
                  <w14:solidFill>
                    <w14:schemeClr w14:val="tx1"/>
                  </w14:solidFill>
                </w14:textFill>
              </w:rPr>
            </w:pPr>
          </w:p>
        </w:tc>
        <w:tc>
          <w:tcPr>
            <w:tcW w:w="358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000000" w:themeColor="text1"/>
                <w:sz w:val="32"/>
                <w:szCs w:val="32"/>
                <w14:textFill>
                  <w14:solidFill>
                    <w14:schemeClr w14:val="tx1"/>
                  </w14:solidFill>
                </w14:textFill>
              </w:rPr>
            </w:pPr>
          </w:p>
        </w:tc>
        <w:tc>
          <w:tcPr>
            <w:tcW w:w="295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000000" w:themeColor="text1"/>
                <w:sz w:val="32"/>
                <w:szCs w:val="32"/>
                <w14:textFill>
                  <w14:solidFill>
                    <w14:schemeClr w14:val="tx1"/>
                  </w14:solidFill>
                </w14:textFill>
              </w:rPr>
            </w:pPr>
          </w:p>
        </w:tc>
        <w:tc>
          <w:tcPr>
            <w:tcW w:w="645" w:type="dxa"/>
            <w:tcBorders>
              <w:top w:val="nil"/>
              <w:left w:val="nil"/>
              <w:bottom w:val="nil"/>
              <w:right w:val="nil"/>
            </w:tcBorders>
            <w:shd w:val="clear" w:color="auto" w:fill="auto"/>
            <w:vAlign w:val="center"/>
          </w:tcPr>
          <w:p>
            <w:pPr>
              <w:jc w:val="center"/>
              <w:rPr>
                <w:rFonts w:hint="default" w:ascii="Times New Roman" w:hAnsi="Times New Roman" w:eastAsia="等线" w:cs="Times New Roman"/>
                <w:color w:val="000000" w:themeColor="text1"/>
                <w:sz w:val="32"/>
                <w:szCs w:val="32"/>
                <w14:textFill>
                  <w14:solidFill>
                    <w14:schemeClr w14:val="tx1"/>
                  </w14:solidFill>
                </w14:textFill>
              </w:rPr>
            </w:pPr>
          </w:p>
        </w:tc>
        <w:tc>
          <w:tcPr>
            <w:tcW w:w="2085" w:type="dxa"/>
            <w:tcBorders>
              <w:top w:val="nil"/>
              <w:left w:val="nil"/>
              <w:bottom w:val="single" w:color="000000" w:sz="4" w:space="0"/>
              <w:right w:val="nil"/>
            </w:tcBorders>
            <w:shd w:val="clear" w:color="auto" w:fill="auto"/>
            <w:vAlign w:val="center"/>
          </w:tcPr>
          <w:p>
            <w:pPr>
              <w:widowControl/>
              <w:jc w:val="right"/>
              <w:textAlignment w:val="center"/>
              <w:rPr>
                <w:rFonts w:hint="default" w:ascii="Times New Roman" w:hAnsi="Times New Roman" w:eastAsia="等线" w:cs="Times New Roman"/>
                <w:color w:val="000000" w:themeColor="text1"/>
                <w:sz w:val="22"/>
                <w:szCs w:val="22"/>
                <w14:textFill>
                  <w14:solidFill>
                    <w14:schemeClr w14:val="tx1"/>
                  </w14:solidFill>
                </w14:textFill>
              </w:rPr>
            </w:pPr>
            <w:r>
              <w:rPr>
                <w:rStyle w:val="18"/>
                <w:rFonts w:hint="default" w:ascii="Times New Roman" w:hAnsi="Times New Roman" w:cs="Times New Roman"/>
                <w:color w:val="000000" w:themeColor="text1"/>
                <w:lang w:bidi="ar"/>
                <w14:textFill>
                  <w14:solidFill>
                    <w14:schemeClr w14:val="tx1"/>
                  </w14:solidFill>
                </w14:textFill>
              </w:rPr>
              <w:t>单位：公顷</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片区位置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规模</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港区中心镇片区一片区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58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港区中心镇片区二片区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54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3</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港区中心镇片区三片区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11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产城融合</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港区中心镇片区四片区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32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港区中心镇片区五片区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27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港口物流配套一片区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192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高端装备制造产业园一片区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188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高端装备制造产业园二片区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127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高端装备制造产业园三片区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144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综保区配套一片区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97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11</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综保区配套二片区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31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12</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化工区配套一片区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太仓港经济技术开发区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92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210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产城融合</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（城市更新）</w:t>
            </w:r>
          </w:p>
        </w:tc>
      </w:tr>
      <w:tr>
        <w:tblPrEx>
          <w:tblCellMar>
            <w:top w:w="0" w:type="dxa"/>
            <w:left w:w="108" w:type="dxa"/>
            <w:bottom w:w="0" w:type="dxa"/>
            <w:right w:w="108" w:type="dxa"/>
          </w:tblCellMar>
        </w:tblPrEx>
        <w:trPr>
          <w:trHeight w:val="794"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片区名称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片区位置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规模</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b/>
                <w:bCs/>
                <w:color w:val="000000" w:themeColor="text1"/>
                <w:sz w:val="24"/>
                <w14:textFill>
                  <w14:solidFill>
                    <w14:schemeClr w14:val="tx1"/>
                  </w14:solidFill>
                </w14:textFill>
              </w:rPr>
            </w:pPr>
            <w:r>
              <w:rPr>
                <w:rFonts w:hint="default" w:ascii="Times New Roman" w:hAnsi="Times New Roman" w:eastAsia="仿宋_GB2312" w:cs="Times New Roman"/>
                <w:b/>
                <w:bCs/>
                <w:color w:val="000000" w:themeColor="text1"/>
                <w:kern w:val="0"/>
                <w:sz w:val="24"/>
                <w:lang w:bidi="ar"/>
                <w14:textFill>
                  <w14:solidFill>
                    <w14:schemeClr w14:val="tx1"/>
                  </w14:solidFill>
                </w14:textFill>
              </w:rPr>
              <w:t>功能定位</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14</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20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产城融合</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15</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20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16</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太仓高新技术产业开发区四片区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82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17</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太仓高新技术产业开发区五片区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9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（高铁商务）</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18</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太仓高新技术产业开发区六片区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21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19</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太仓高新技术产业开发区七片区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70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（临沪国际社区）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20</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太仓高新技术产业开发区八片区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36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21</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太仓高新技术产业开发区九片区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太仓高新技术产业开发区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 xml:space="preserve">59 </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（中德合作）</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22</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城厢镇一片区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城厢镇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43</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23</w:t>
            </w:r>
          </w:p>
        </w:tc>
        <w:tc>
          <w:tcPr>
            <w:tcW w:w="3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沙溪镇一片区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沙溪镇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101</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（生物医药）</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24</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沙溪镇二片区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沙溪镇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38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产城融合</w:t>
            </w:r>
            <w:r>
              <w:rPr>
                <w:rFonts w:hint="default" w:ascii="Times New Roman" w:hAnsi="Times New Roman" w:eastAsia="仿宋_GB2312" w:cs="Times New Roman"/>
                <w:color w:val="000000" w:themeColor="text1"/>
                <w:kern w:val="0"/>
                <w:sz w:val="24"/>
                <w:lang w:bidi="ar"/>
                <w14:textFill>
                  <w14:solidFill>
                    <w14:schemeClr w14:val="tx1"/>
                  </w14:solidFill>
                </w14:textFill>
              </w:rPr>
              <w:br w:type="textWrapping"/>
            </w:r>
            <w:r>
              <w:rPr>
                <w:rFonts w:hint="default" w:ascii="Times New Roman" w:hAnsi="Times New Roman" w:eastAsia="仿宋_GB2312" w:cs="Times New Roman"/>
                <w:color w:val="000000" w:themeColor="text1"/>
                <w:kern w:val="0"/>
                <w:sz w:val="24"/>
                <w:lang w:bidi="ar"/>
                <w14:textFill>
                  <w14:solidFill>
                    <w14:schemeClr w14:val="tx1"/>
                  </w14:solidFill>
                </w14:textFill>
              </w:rPr>
              <w:t>（城市更新）</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25</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浏河镇一片区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浏河镇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49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城市新区</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26</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璜泾镇一片区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璜泾镇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19</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27</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双凤镇一片区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28</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双凤镇二片区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8</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r>
        <w:tblPrEx>
          <w:tblCellMar>
            <w:top w:w="0" w:type="dxa"/>
            <w:left w:w="108" w:type="dxa"/>
            <w:bottom w:w="0" w:type="dxa"/>
            <w:right w:w="108" w:type="dxa"/>
          </w:tblCellMar>
        </w:tblPrEx>
        <w:trPr>
          <w:trHeight w:val="737"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29</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双凤镇三片区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双凤镇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16</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lang w:bidi="ar"/>
                <w14:textFill>
                  <w14:solidFill>
                    <w14:schemeClr w14:val="tx1"/>
                  </w14:solidFill>
                </w14:textFill>
              </w:rPr>
              <w:t>工业主导</w:t>
            </w:r>
          </w:p>
        </w:tc>
      </w:tr>
    </w:tbl>
    <w:p>
      <w:pPr>
        <w:pStyle w:val="6"/>
        <w:rPr>
          <w:rFonts w:hint="default" w:ascii="Times New Roman" w:hAnsi="Times New Roman" w:eastAsia="仿宋_GB2312" w:cs="Times New Roman"/>
          <w:color w:val="000000" w:themeColor="text1"/>
          <w14:textFill>
            <w14:solidFill>
              <w14:schemeClr w14:val="tx1"/>
            </w14:solidFill>
          </w14:textFill>
        </w:rPr>
      </w:pPr>
    </w:p>
    <w:sectPr>
      <w:footerReference r:id="rId3" w:type="default"/>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C0AA86-2D92-4763-8202-EB5290A4A56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56A71E3F-2B88-4095-94EA-66C817B5D526}"/>
  </w:font>
  <w:font w:name="方正小标宋简体">
    <w:panose1 w:val="02000000000000000000"/>
    <w:charset w:val="86"/>
    <w:family w:val="auto"/>
    <w:pitch w:val="default"/>
    <w:sig w:usb0="A00002BF" w:usb1="184F6CFA" w:usb2="00000012" w:usb3="00000000" w:csb0="00040001" w:csb1="00000000"/>
    <w:embedRegular r:id="rId3" w:fontKey="{D031D4A2-C440-45DC-81BB-902D4DEFC00F}"/>
  </w:font>
  <w:font w:name="楷体_GB2312">
    <w:panose1 w:val="02010609030101010101"/>
    <w:charset w:val="86"/>
    <w:family w:val="modern"/>
    <w:pitch w:val="default"/>
    <w:sig w:usb0="00000001" w:usb1="080E0000" w:usb2="00000000" w:usb3="00000000" w:csb0="00040000" w:csb1="00000000"/>
    <w:embedRegular r:id="rId4" w:fontKey="{7AFE2C19-0F66-46E6-8B8A-8BECCC35677A}"/>
  </w:font>
  <w:font w:name="华文楷体">
    <w:panose1 w:val="02010600040101010101"/>
    <w:charset w:val="86"/>
    <w:family w:val="auto"/>
    <w:pitch w:val="default"/>
    <w:sig w:usb0="00000287" w:usb1="080F0000" w:usb2="00000000" w:usb3="00000000" w:csb0="0004009F" w:csb1="DFD70000"/>
    <w:embedRegular r:id="rId5" w:fontKey="{3A55045B-7C53-42D9-8455-04D8AEFF0413}"/>
  </w:font>
  <w:font w:name="方正小标宋_GBK">
    <w:panose1 w:val="03000509000000000000"/>
    <w:charset w:val="86"/>
    <w:family w:val="auto"/>
    <w:pitch w:val="default"/>
    <w:sig w:usb0="00000001" w:usb1="080E0000" w:usb2="00000000" w:usb3="00000000" w:csb0="00040000" w:csb1="00000000"/>
    <w:embedRegular r:id="rId6" w:fontKey="{855DEC15-9CDF-47C4-85D0-E4E469DB0FEB}"/>
  </w:font>
  <w:font w:name="等线">
    <w:panose1 w:val="02010600030101010101"/>
    <w:charset w:val="86"/>
    <w:family w:val="auto"/>
    <w:pitch w:val="default"/>
    <w:sig w:usb0="A00002BF" w:usb1="38CF7CFA" w:usb2="00000016" w:usb3="00000000" w:csb0="0004000F" w:csb1="00000000"/>
    <w:embedRegular r:id="rId7" w:fontKey="{43F6164D-9C60-4BF6-AE3E-6DE22F66F90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C6DDC"/>
    <w:rsid w:val="001113BD"/>
    <w:rsid w:val="00123071"/>
    <w:rsid w:val="001760EE"/>
    <w:rsid w:val="00185D2C"/>
    <w:rsid w:val="002D3D29"/>
    <w:rsid w:val="0037516A"/>
    <w:rsid w:val="00393792"/>
    <w:rsid w:val="003C5C1C"/>
    <w:rsid w:val="003D73D5"/>
    <w:rsid w:val="00427502"/>
    <w:rsid w:val="00430538"/>
    <w:rsid w:val="00467D32"/>
    <w:rsid w:val="006B138B"/>
    <w:rsid w:val="006C3300"/>
    <w:rsid w:val="007205EB"/>
    <w:rsid w:val="00796F12"/>
    <w:rsid w:val="00842B24"/>
    <w:rsid w:val="008818E5"/>
    <w:rsid w:val="008E1DCF"/>
    <w:rsid w:val="00904460"/>
    <w:rsid w:val="009D5D2B"/>
    <w:rsid w:val="009F73CA"/>
    <w:rsid w:val="00AC2A1D"/>
    <w:rsid w:val="00B55F7F"/>
    <w:rsid w:val="00C87F34"/>
    <w:rsid w:val="00CF7212"/>
    <w:rsid w:val="00E4158C"/>
    <w:rsid w:val="00F2361E"/>
    <w:rsid w:val="00F605B1"/>
    <w:rsid w:val="010C6233"/>
    <w:rsid w:val="01B315B0"/>
    <w:rsid w:val="02471ADF"/>
    <w:rsid w:val="02A35294"/>
    <w:rsid w:val="02E80AFB"/>
    <w:rsid w:val="06957CCC"/>
    <w:rsid w:val="075E1157"/>
    <w:rsid w:val="07DF19DA"/>
    <w:rsid w:val="09724065"/>
    <w:rsid w:val="0A40746F"/>
    <w:rsid w:val="0A49197F"/>
    <w:rsid w:val="0AA341BC"/>
    <w:rsid w:val="0BF75E81"/>
    <w:rsid w:val="0D3E6FDA"/>
    <w:rsid w:val="0D5A0DB8"/>
    <w:rsid w:val="0D606DA8"/>
    <w:rsid w:val="0EE92353"/>
    <w:rsid w:val="0F900341"/>
    <w:rsid w:val="110854DA"/>
    <w:rsid w:val="110C1E59"/>
    <w:rsid w:val="11152800"/>
    <w:rsid w:val="12795CF8"/>
    <w:rsid w:val="13394019"/>
    <w:rsid w:val="13CA43C4"/>
    <w:rsid w:val="141F6347"/>
    <w:rsid w:val="14D21534"/>
    <w:rsid w:val="16705DCD"/>
    <w:rsid w:val="16E070F7"/>
    <w:rsid w:val="1ADF5B2F"/>
    <w:rsid w:val="1AE6371B"/>
    <w:rsid w:val="1BE834C2"/>
    <w:rsid w:val="1C8431EB"/>
    <w:rsid w:val="1C9553F8"/>
    <w:rsid w:val="1DD84EE2"/>
    <w:rsid w:val="1DDD5711"/>
    <w:rsid w:val="1F39143F"/>
    <w:rsid w:val="1F511364"/>
    <w:rsid w:val="1FB738D7"/>
    <w:rsid w:val="21A15A76"/>
    <w:rsid w:val="21F12A60"/>
    <w:rsid w:val="22BB3EB7"/>
    <w:rsid w:val="2318468D"/>
    <w:rsid w:val="243635FF"/>
    <w:rsid w:val="25F37D76"/>
    <w:rsid w:val="26FD6750"/>
    <w:rsid w:val="27B32BD6"/>
    <w:rsid w:val="28080D3A"/>
    <w:rsid w:val="28A05052"/>
    <w:rsid w:val="29652E68"/>
    <w:rsid w:val="297A4C97"/>
    <w:rsid w:val="29A53291"/>
    <w:rsid w:val="2A7D163C"/>
    <w:rsid w:val="2AC435C1"/>
    <w:rsid w:val="2C370F78"/>
    <w:rsid w:val="2D9E36A2"/>
    <w:rsid w:val="2DD60BCC"/>
    <w:rsid w:val="2E385382"/>
    <w:rsid w:val="2F211EDE"/>
    <w:rsid w:val="2FBB288C"/>
    <w:rsid w:val="30B5415B"/>
    <w:rsid w:val="31650A8E"/>
    <w:rsid w:val="3299276F"/>
    <w:rsid w:val="33D80F1C"/>
    <w:rsid w:val="34074C7E"/>
    <w:rsid w:val="35063858"/>
    <w:rsid w:val="367C0522"/>
    <w:rsid w:val="36BF0330"/>
    <w:rsid w:val="376E524D"/>
    <w:rsid w:val="386046B4"/>
    <w:rsid w:val="3A645A8F"/>
    <w:rsid w:val="3B53140E"/>
    <w:rsid w:val="3C125546"/>
    <w:rsid w:val="3C443157"/>
    <w:rsid w:val="3C833C9A"/>
    <w:rsid w:val="3C887886"/>
    <w:rsid w:val="3DAE25C4"/>
    <w:rsid w:val="3E164DFB"/>
    <w:rsid w:val="3E6615A9"/>
    <w:rsid w:val="3E697745"/>
    <w:rsid w:val="3F0E43CB"/>
    <w:rsid w:val="40606227"/>
    <w:rsid w:val="441A4BB9"/>
    <w:rsid w:val="44A538DB"/>
    <w:rsid w:val="458D3155"/>
    <w:rsid w:val="461558BE"/>
    <w:rsid w:val="47482F0E"/>
    <w:rsid w:val="47C167F2"/>
    <w:rsid w:val="47DF0641"/>
    <w:rsid w:val="4980051F"/>
    <w:rsid w:val="4B272E10"/>
    <w:rsid w:val="4C766078"/>
    <w:rsid w:val="4D4952BF"/>
    <w:rsid w:val="4DAB5F02"/>
    <w:rsid w:val="4E4C6DDC"/>
    <w:rsid w:val="530B6A25"/>
    <w:rsid w:val="53343D18"/>
    <w:rsid w:val="536966BB"/>
    <w:rsid w:val="53E47CF1"/>
    <w:rsid w:val="53F83DA2"/>
    <w:rsid w:val="542D743D"/>
    <w:rsid w:val="547F2DE2"/>
    <w:rsid w:val="549E7D3C"/>
    <w:rsid w:val="56383652"/>
    <w:rsid w:val="56A75F55"/>
    <w:rsid w:val="57551C19"/>
    <w:rsid w:val="57940A9F"/>
    <w:rsid w:val="58F83AB8"/>
    <w:rsid w:val="5ADF3954"/>
    <w:rsid w:val="5CA74817"/>
    <w:rsid w:val="5CAD3A04"/>
    <w:rsid w:val="5D79574D"/>
    <w:rsid w:val="5E6E102A"/>
    <w:rsid w:val="5ECB647C"/>
    <w:rsid w:val="611F5337"/>
    <w:rsid w:val="62F95749"/>
    <w:rsid w:val="6359327A"/>
    <w:rsid w:val="63841CF5"/>
    <w:rsid w:val="643D05E4"/>
    <w:rsid w:val="65D41921"/>
    <w:rsid w:val="66C63FCB"/>
    <w:rsid w:val="69482477"/>
    <w:rsid w:val="70F25AEA"/>
    <w:rsid w:val="741574E6"/>
    <w:rsid w:val="75441721"/>
    <w:rsid w:val="766441D6"/>
    <w:rsid w:val="76E61A18"/>
    <w:rsid w:val="77A6580D"/>
    <w:rsid w:val="78E73A5B"/>
    <w:rsid w:val="79221026"/>
    <w:rsid w:val="79E824C4"/>
    <w:rsid w:val="7A4401EF"/>
    <w:rsid w:val="7D785E1C"/>
    <w:rsid w:val="7DD22C53"/>
    <w:rsid w:val="7ED554F9"/>
    <w:rsid w:val="7F30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qFormat/>
    <w:uiPriority w:val="0"/>
    <w:pPr>
      <w:jc w:val="center"/>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Subtitle"/>
    <w:basedOn w:val="1"/>
    <w:next w:val="1"/>
    <w:qFormat/>
    <w:uiPriority w:val="0"/>
    <w:pPr>
      <w:widowControl/>
      <w:jc w:val="center"/>
    </w:pPr>
    <w:rPr>
      <w:rFonts w:ascii="Calibri" w:hAnsi="Calibri"/>
      <w:sz w:val="24"/>
    </w:rPr>
  </w:style>
  <w:style w:type="paragraph" w:styleId="7">
    <w:name w:val="Normal (Web)"/>
    <w:basedOn w:val="1"/>
    <w:qFormat/>
    <w:uiPriority w:val="99"/>
    <w:pPr>
      <w:jc w:val="left"/>
    </w:pPr>
    <w:rPr>
      <w:kern w:val="0"/>
      <w:sz w:val="24"/>
    </w:rPr>
  </w:style>
  <w:style w:type="paragraph" w:styleId="8">
    <w:name w:val="Body Text First Indent 2"/>
    <w:basedOn w:val="3"/>
    <w:qFormat/>
    <w:uiPriority w:val="0"/>
    <w:pPr>
      <w:ind w:firstLine="420" w:firstLineChars="200"/>
    </w:p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标题 Char Char"/>
    <w:basedOn w:val="14"/>
    <w:next w:val="6"/>
    <w:qFormat/>
    <w:uiPriority w:val="0"/>
    <w:pPr>
      <w:jc w:val="center"/>
      <w:outlineLvl w:val="0"/>
    </w:pPr>
    <w:rPr>
      <w:rFonts w:ascii="Arial" w:hAnsi="Arial"/>
      <w:b/>
      <w:sz w:val="32"/>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font61"/>
    <w:basedOn w:val="10"/>
    <w:qFormat/>
    <w:uiPriority w:val="0"/>
    <w:rPr>
      <w:rFonts w:ascii="仿宋_GB2312" w:eastAsia="仿宋_GB2312" w:cs="仿宋_GB2312"/>
      <w:color w:val="000000"/>
      <w:sz w:val="21"/>
      <w:szCs w:val="21"/>
      <w:u w:val="none"/>
    </w:rPr>
  </w:style>
  <w:style w:type="character" w:customStyle="1" w:styleId="16">
    <w:name w:val="font81"/>
    <w:basedOn w:val="10"/>
    <w:qFormat/>
    <w:uiPriority w:val="0"/>
    <w:rPr>
      <w:rFonts w:hint="eastAsia" w:ascii="仿宋_GB2312" w:eastAsia="仿宋_GB2312" w:cs="仿宋_GB2312"/>
      <w:color w:val="000000"/>
      <w:sz w:val="21"/>
      <w:szCs w:val="21"/>
      <w:u w:val="none"/>
    </w:rPr>
  </w:style>
  <w:style w:type="character" w:customStyle="1" w:styleId="17">
    <w:name w:val="font12"/>
    <w:basedOn w:val="10"/>
    <w:qFormat/>
    <w:uiPriority w:val="0"/>
    <w:rPr>
      <w:rFonts w:hint="eastAsia" w:ascii="宋体" w:hAnsi="宋体" w:eastAsia="宋体" w:cs="宋体"/>
      <w:color w:val="000000"/>
      <w:sz w:val="22"/>
      <w:szCs w:val="22"/>
      <w:u w:val="none"/>
    </w:rPr>
  </w:style>
  <w:style w:type="character" w:customStyle="1" w:styleId="18">
    <w:name w:val="font91"/>
    <w:basedOn w:val="10"/>
    <w:qFormat/>
    <w:uiPriority w:val="0"/>
    <w:rPr>
      <w:rFonts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22084B-EC6C-41B2-8DA2-C42A48A51A58}">
  <ds:schemaRefs/>
</ds:datastoreItem>
</file>

<file path=docProps/app.xml><?xml version="1.0" encoding="utf-8"?>
<Properties xmlns="http://schemas.openxmlformats.org/officeDocument/2006/extended-properties" xmlns:vt="http://schemas.openxmlformats.org/officeDocument/2006/docPropsVTypes">
  <Template>Normal</Template>
  <Company>NDRC</Company>
  <Pages>17</Pages>
  <Words>1361</Words>
  <Characters>7763</Characters>
  <Lines>64</Lines>
  <Paragraphs>18</Paragraphs>
  <TotalTime>9</TotalTime>
  <ScaleCrop>false</ScaleCrop>
  <LinksUpToDate>false</LinksUpToDate>
  <CharactersWithSpaces>9106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2021-12-26T08:28:00Z</dcterms:created>
  <dc:creator>蓝山</dc:creator>
  <cp:lastModifiedBy>Lenovo</cp:lastModifiedBy>
  <cp:lastPrinted>2021-12-31T10:38:00Z</cp:lastPrinted>
  <dcterms:modified xsi:type="dcterms:W3CDTF">2022-01-01T09:24:49Z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A64067C0AD424AB4BF23153660B130A3</vt:lpwstr>
  </property>
</Properties>
</file>